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49" w:rsidRPr="005C47C5" w:rsidRDefault="00986949" w:rsidP="00986949">
      <w:pPr>
        <w:widowControl/>
        <w:suppressAutoHyphens/>
        <w:jc w:val="center"/>
        <w:rPr>
          <w:rFonts w:eastAsia="Calibri"/>
          <w:sz w:val="24"/>
          <w:lang w:eastAsia="en-US"/>
        </w:rPr>
      </w:pPr>
      <w:proofErr w:type="spellStart"/>
      <w:r w:rsidRPr="005C47C5">
        <w:rPr>
          <w:b/>
          <w:sz w:val="24"/>
        </w:rPr>
        <w:t>Сублицензионный</w:t>
      </w:r>
      <w:proofErr w:type="spellEnd"/>
      <w:r w:rsidRPr="005C47C5">
        <w:rPr>
          <w:b/>
          <w:sz w:val="24"/>
        </w:rPr>
        <w:t xml:space="preserve"> договор № </w:t>
      </w:r>
      <w:r w:rsidR="00D715DD" w:rsidRPr="005C47C5">
        <w:rPr>
          <w:b/>
          <w:sz w:val="24"/>
        </w:rPr>
        <w:t>КЭ0008427</w:t>
      </w:r>
    </w:p>
    <w:p w:rsidR="00986949" w:rsidRPr="005C47C5" w:rsidRDefault="00986949" w:rsidP="00986949">
      <w:pPr>
        <w:jc w:val="center"/>
        <w:rPr>
          <w:b/>
          <w:sz w:val="24"/>
        </w:rPr>
      </w:pPr>
    </w:p>
    <w:p w:rsidR="00986949" w:rsidRPr="005C47C5" w:rsidRDefault="00986949" w:rsidP="00986949">
      <w:pPr>
        <w:tabs>
          <w:tab w:val="right" w:pos="10206"/>
        </w:tabs>
        <w:rPr>
          <w:sz w:val="24"/>
        </w:rPr>
      </w:pPr>
      <w:r w:rsidRPr="005C47C5">
        <w:rPr>
          <w:sz w:val="24"/>
        </w:rPr>
        <w:t>г. Казань</w:t>
      </w:r>
      <w:r w:rsidRPr="005C47C5">
        <w:rPr>
          <w:sz w:val="24"/>
        </w:rPr>
        <w:tab/>
      </w:r>
      <w:bookmarkStart w:id="0" w:name="ТекстовоеПоле4"/>
      <w:r w:rsidRPr="005C47C5">
        <w:rPr>
          <w:sz w:val="24"/>
        </w:rPr>
        <w:t xml:space="preserve"> </w:t>
      </w:r>
      <w:proofErr w:type="gramStart"/>
      <w:r w:rsidRPr="005C47C5">
        <w:rPr>
          <w:sz w:val="24"/>
        </w:rPr>
        <w:t xml:space="preserve">   «</w:t>
      </w:r>
      <w:proofErr w:type="gramEnd"/>
      <w:r w:rsidRPr="005C47C5">
        <w:rPr>
          <w:sz w:val="24"/>
        </w:rPr>
        <w:t>___»_______________201_г.</w:t>
      </w:r>
    </w:p>
    <w:p w:rsidR="00986949" w:rsidRPr="005C47C5" w:rsidRDefault="00986949" w:rsidP="00986949">
      <w:pPr>
        <w:tabs>
          <w:tab w:val="right" w:pos="9350"/>
        </w:tabs>
        <w:rPr>
          <w:sz w:val="24"/>
        </w:rPr>
      </w:pPr>
      <w:r w:rsidRPr="005C47C5">
        <w:rPr>
          <w:sz w:val="24"/>
        </w:rPr>
        <w:t xml:space="preserve"> </w:t>
      </w:r>
    </w:p>
    <w:bookmarkEnd w:id="0"/>
    <w:p w:rsidR="00986949" w:rsidRPr="005C47C5" w:rsidRDefault="00C13938" w:rsidP="00986949">
      <w:pPr>
        <w:ind w:firstLine="567"/>
        <w:rPr>
          <w:sz w:val="24"/>
        </w:rPr>
      </w:pPr>
      <w:r w:rsidRPr="005C47C5">
        <w:rPr>
          <w:b/>
          <w:sz w:val="24"/>
        </w:rPr>
        <w:t>АО «</w:t>
      </w:r>
      <w:proofErr w:type="spellStart"/>
      <w:r w:rsidRPr="005C47C5">
        <w:rPr>
          <w:b/>
          <w:sz w:val="24"/>
        </w:rPr>
        <w:t>Казэнерго</w:t>
      </w:r>
      <w:proofErr w:type="spellEnd"/>
      <w:r w:rsidRPr="005C47C5">
        <w:rPr>
          <w:b/>
          <w:sz w:val="24"/>
        </w:rPr>
        <w:t>»</w:t>
      </w:r>
      <w:r w:rsidRPr="005C47C5">
        <w:rPr>
          <w:sz w:val="24"/>
        </w:rPr>
        <w:t xml:space="preserve">, именуемое в дальнейшем </w:t>
      </w:r>
      <w:r w:rsidRPr="005C47C5">
        <w:rPr>
          <w:b/>
          <w:sz w:val="24"/>
        </w:rPr>
        <w:t>Сублицензиат</w:t>
      </w:r>
      <w:r w:rsidRPr="005C47C5">
        <w:rPr>
          <w:sz w:val="24"/>
        </w:rPr>
        <w:t xml:space="preserve">, в лице заместителя генерального директора </w:t>
      </w:r>
      <w:proofErr w:type="spellStart"/>
      <w:r w:rsidRPr="005C47C5">
        <w:rPr>
          <w:sz w:val="24"/>
        </w:rPr>
        <w:t>Сабитова</w:t>
      </w:r>
      <w:proofErr w:type="spellEnd"/>
      <w:r w:rsidRPr="005C47C5">
        <w:rPr>
          <w:sz w:val="24"/>
        </w:rPr>
        <w:t xml:space="preserve"> </w:t>
      </w:r>
      <w:proofErr w:type="spellStart"/>
      <w:r w:rsidRPr="005C47C5">
        <w:rPr>
          <w:sz w:val="24"/>
        </w:rPr>
        <w:t>Талгата</w:t>
      </w:r>
      <w:proofErr w:type="spellEnd"/>
      <w:r w:rsidRPr="005C47C5">
        <w:rPr>
          <w:sz w:val="24"/>
        </w:rPr>
        <w:t xml:space="preserve"> </w:t>
      </w:r>
      <w:proofErr w:type="spellStart"/>
      <w:r w:rsidRPr="005C47C5">
        <w:rPr>
          <w:sz w:val="24"/>
        </w:rPr>
        <w:t>Тагировича</w:t>
      </w:r>
      <w:proofErr w:type="spellEnd"/>
      <w:r w:rsidRPr="005C47C5">
        <w:rPr>
          <w:sz w:val="24"/>
        </w:rPr>
        <w:t>, действующего на основании Доверенности №7731/11-19 от 29 декабря 2017 года</w:t>
      </w:r>
      <w:r w:rsidRPr="005C47C5">
        <w:rPr>
          <w:sz w:val="24"/>
          <w:lang w:eastAsia="en-US"/>
        </w:rPr>
        <w:t>,</w:t>
      </w:r>
      <w:r w:rsidRPr="005C47C5">
        <w:rPr>
          <w:sz w:val="24"/>
        </w:rPr>
        <w:t xml:space="preserve"> с одной стороны, </w:t>
      </w:r>
      <w:bookmarkStart w:id="1" w:name="ТекстовоеПоле6"/>
      <w:r w:rsidRPr="005C47C5">
        <w:rPr>
          <w:sz w:val="24"/>
        </w:rPr>
        <w:t>и</w:t>
      </w:r>
      <w:bookmarkEnd w:id="1"/>
      <w:r w:rsidRPr="005C47C5">
        <w:rPr>
          <w:b/>
          <w:sz w:val="24"/>
        </w:rPr>
        <w:t>_</w:t>
      </w:r>
      <w:r w:rsidRPr="005C47C5">
        <w:rPr>
          <w:sz w:val="24"/>
        </w:rPr>
        <w:t xml:space="preserve"> </w:t>
      </w:r>
      <w:r w:rsidRPr="005C47C5">
        <w:rPr>
          <w:b/>
          <w:sz w:val="24"/>
        </w:rPr>
        <w:t xml:space="preserve">Общество с ограниченной ответственностью "ГЕОКЭПИТАЛ" (ООО «ГЕОКЭПИТАЛ»), </w:t>
      </w:r>
      <w:r w:rsidRPr="005C47C5">
        <w:rPr>
          <w:sz w:val="24"/>
        </w:rPr>
        <w:t xml:space="preserve"> именуемое в дальнейшем</w:t>
      </w:r>
      <w:r w:rsidRPr="005C47C5">
        <w:rPr>
          <w:b/>
          <w:sz w:val="24"/>
        </w:rPr>
        <w:t xml:space="preserve"> Лицензиат</w:t>
      </w:r>
      <w:r w:rsidRPr="005C47C5">
        <w:rPr>
          <w:sz w:val="24"/>
        </w:rPr>
        <w:t>, в лице</w:t>
      </w:r>
      <w:r>
        <w:t xml:space="preserve"> </w:t>
      </w:r>
      <w:r w:rsidRPr="00C13938">
        <w:rPr>
          <w:sz w:val="24"/>
        </w:rPr>
        <w:t>директора</w:t>
      </w:r>
      <w:r w:rsidRPr="00C13938">
        <w:rPr>
          <w:b/>
          <w:sz w:val="24"/>
        </w:rPr>
        <w:t xml:space="preserve"> </w:t>
      </w:r>
      <w:proofErr w:type="spellStart"/>
      <w:r w:rsidRPr="00C13938">
        <w:rPr>
          <w:sz w:val="24"/>
        </w:rPr>
        <w:t>Лобынцевой</w:t>
      </w:r>
      <w:proofErr w:type="spellEnd"/>
      <w:r w:rsidRPr="00C13938">
        <w:rPr>
          <w:sz w:val="24"/>
        </w:rPr>
        <w:t xml:space="preserve"> Тамары Евгеньевны, действующего на основании Устава</w:t>
      </w:r>
      <w:r w:rsidRPr="005C47C5">
        <w:rPr>
          <w:sz w:val="24"/>
        </w:rPr>
        <w:t>,</w:t>
      </w:r>
      <w:r w:rsidR="00986949" w:rsidRPr="005C47C5">
        <w:rPr>
          <w:sz w:val="24"/>
        </w:rPr>
        <w:t xml:space="preserve"> с другой стороны, вместе именуемые — Стороны, а каждое по отдельности — Сторона, в соответствии с Гражданским кодексом РФ, Федеральным  законом от 18.07.2011 № 223-ФЗ «О закупках товаров, работ, услуг отдельными видами юридических лиц», на осно</w:t>
      </w:r>
      <w:r w:rsidR="00FC02E0" w:rsidRPr="005C47C5">
        <w:rPr>
          <w:sz w:val="24"/>
        </w:rPr>
        <w:t>вании протокола комиссии от «21</w:t>
      </w:r>
      <w:r w:rsidR="00986949" w:rsidRPr="005C47C5">
        <w:rPr>
          <w:sz w:val="24"/>
        </w:rPr>
        <w:t>»</w:t>
      </w:r>
      <w:r w:rsidR="00FC02E0" w:rsidRPr="005C47C5">
        <w:rPr>
          <w:sz w:val="24"/>
        </w:rPr>
        <w:t xml:space="preserve"> марта </w:t>
      </w:r>
      <w:r w:rsidR="00986949" w:rsidRPr="005C47C5">
        <w:rPr>
          <w:sz w:val="24"/>
        </w:rPr>
        <w:t>201</w:t>
      </w:r>
      <w:r w:rsidR="00FC02E0" w:rsidRPr="005C47C5">
        <w:rPr>
          <w:sz w:val="24"/>
        </w:rPr>
        <w:t xml:space="preserve">8 </w:t>
      </w:r>
      <w:r w:rsidR="00986949" w:rsidRPr="005C47C5">
        <w:rPr>
          <w:sz w:val="24"/>
        </w:rPr>
        <w:t>г. №</w:t>
      </w:r>
      <w:r w:rsidR="00FC02E0" w:rsidRPr="005C47C5">
        <w:rPr>
          <w:sz w:val="24"/>
        </w:rPr>
        <w:t>1</w:t>
      </w:r>
      <w:r w:rsidR="00986949" w:rsidRPr="005C47C5">
        <w:rPr>
          <w:sz w:val="24"/>
        </w:rPr>
        <w:t xml:space="preserve"> по результатам </w:t>
      </w:r>
      <w:r w:rsidR="00FC02E0" w:rsidRPr="005C47C5">
        <w:rPr>
          <w:sz w:val="24"/>
        </w:rPr>
        <w:t>процедуры закупки № 31806230897</w:t>
      </w:r>
      <w:r w:rsidR="00986949" w:rsidRPr="005C47C5">
        <w:rPr>
          <w:sz w:val="24"/>
        </w:rPr>
        <w:t xml:space="preserve"> заключили настоящий договор о нижеследующем.</w:t>
      </w:r>
    </w:p>
    <w:p w:rsidR="00986949" w:rsidRPr="005C47C5" w:rsidRDefault="00986949" w:rsidP="00986949">
      <w:pPr>
        <w:rPr>
          <w:sz w:val="24"/>
        </w:rPr>
      </w:pPr>
    </w:p>
    <w:p w:rsidR="00986949" w:rsidRPr="005C47C5" w:rsidRDefault="00986949" w:rsidP="00986949">
      <w:pPr>
        <w:rPr>
          <w:b/>
          <w:sz w:val="24"/>
        </w:rPr>
      </w:pPr>
      <w:r w:rsidRPr="005C47C5">
        <w:rPr>
          <w:b/>
          <w:sz w:val="24"/>
        </w:rPr>
        <w:t>Термины и определения</w:t>
      </w:r>
    </w:p>
    <w:p w:rsidR="00986949" w:rsidRPr="005C47C5" w:rsidRDefault="00986949" w:rsidP="00986949">
      <w:pPr>
        <w:rPr>
          <w:sz w:val="24"/>
        </w:rPr>
      </w:pPr>
      <w:r w:rsidRPr="005C47C5">
        <w:rPr>
          <w:i/>
          <w:sz w:val="24"/>
        </w:rPr>
        <w:t>Право использования</w:t>
      </w:r>
      <w:r w:rsidRPr="005C47C5">
        <w:rPr>
          <w:sz w:val="24"/>
        </w:rPr>
        <w:t xml:space="preserve"> – разрешение на использование программ для электронной </w:t>
      </w:r>
      <w:proofErr w:type="spellStart"/>
      <w:r w:rsidRPr="005C47C5">
        <w:rPr>
          <w:sz w:val="24"/>
        </w:rPr>
        <w:t>вычислителной</w:t>
      </w:r>
      <w:proofErr w:type="spellEnd"/>
      <w:r w:rsidRPr="005C47C5">
        <w:rPr>
          <w:sz w:val="24"/>
        </w:rPr>
        <w:t xml:space="preserve"> машины (далее ЭВМ), перечисленных в пункте </w:t>
      </w:r>
      <w:r w:rsidRPr="005C47C5">
        <w:rPr>
          <w:sz w:val="24"/>
          <w:highlight w:val="lightGray"/>
        </w:rPr>
        <w:t>1</w:t>
      </w:r>
      <w:r w:rsidRPr="005C47C5">
        <w:rPr>
          <w:sz w:val="24"/>
        </w:rPr>
        <w:t xml:space="preserve"> Приложения № </w:t>
      </w:r>
      <w:r w:rsidRPr="005C47C5">
        <w:rPr>
          <w:sz w:val="24"/>
          <w:highlight w:val="lightGray"/>
        </w:rPr>
        <w:t>1</w:t>
      </w:r>
      <w:r w:rsidRPr="005C47C5">
        <w:rPr>
          <w:sz w:val="24"/>
        </w:rPr>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986949" w:rsidRPr="005C47C5" w:rsidRDefault="00986949" w:rsidP="00986949">
      <w:pPr>
        <w:rPr>
          <w:sz w:val="24"/>
        </w:rPr>
      </w:pPr>
      <w:r w:rsidRPr="005C47C5">
        <w:rPr>
          <w:i/>
          <w:sz w:val="24"/>
        </w:rPr>
        <w:t>Типовое соглашение правообладателя с конечным пользователем</w:t>
      </w:r>
      <w:r w:rsidRPr="005C47C5">
        <w:rPr>
          <w:sz w:val="24"/>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986949" w:rsidRPr="005C47C5" w:rsidRDefault="00986949" w:rsidP="00986949">
      <w:pPr>
        <w:rPr>
          <w:sz w:val="24"/>
        </w:rPr>
      </w:pPr>
      <w:r w:rsidRPr="005C47C5">
        <w:rPr>
          <w:i/>
          <w:sz w:val="24"/>
        </w:rPr>
        <w:t>Предоставление права использования программ для ЭВМ</w:t>
      </w:r>
      <w:r w:rsidRPr="005C47C5">
        <w:rPr>
          <w:sz w:val="24"/>
        </w:rPr>
        <w:t xml:space="preserve"> – наступление установленного Сторонами в пункте </w:t>
      </w:r>
      <w:r w:rsidRPr="005C47C5">
        <w:rPr>
          <w:sz w:val="24"/>
          <w:highlight w:val="lightGray"/>
        </w:rPr>
        <w:t>2.3.</w:t>
      </w:r>
      <w:r w:rsidRPr="005C47C5">
        <w:rPr>
          <w:sz w:val="24"/>
        </w:rPr>
        <w:t xml:space="preserve">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986949" w:rsidRPr="005C47C5" w:rsidRDefault="00986949" w:rsidP="00986949">
      <w:pPr>
        <w:rPr>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Предмет Договора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Лицензиат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Договора.</w:t>
      </w:r>
    </w:p>
    <w:p w:rsidR="00986949" w:rsidRPr="005C47C5" w:rsidRDefault="00986949" w:rsidP="00986949">
      <w:pPr>
        <w:rPr>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Порядок предоставления права использования программ для ЭВМ</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sidRPr="005C47C5">
        <w:rPr>
          <w:sz w:val="24"/>
        </w:rPr>
        <w:fldChar w:fldCharType="begin">
          <w:ffData>
            <w:name w:val=""/>
            <w:enabled/>
            <w:calcOnExit w:val="0"/>
            <w:textInput>
              <w:default w:val="5"/>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5</w:t>
      </w:r>
      <w:r w:rsidRPr="005C47C5">
        <w:rPr>
          <w:sz w:val="24"/>
        </w:rPr>
        <w:fldChar w:fldCharType="end"/>
      </w:r>
      <w:r w:rsidRPr="005C47C5">
        <w:rPr>
          <w:sz w:val="24"/>
        </w:rPr>
        <w:t xml:space="preserve"> (</w:t>
      </w:r>
      <w:r w:rsidRPr="005C47C5">
        <w:rPr>
          <w:sz w:val="24"/>
        </w:rPr>
        <w:fldChar w:fldCharType="begin">
          <w:ffData>
            <w:name w:val=""/>
            <w:enabled/>
            <w:calcOnExit w:val="0"/>
            <w:textInput>
              <w:default w:val="Пяти"/>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Пяти</w:t>
      </w:r>
      <w:r w:rsidRPr="005C47C5">
        <w:rPr>
          <w:sz w:val="24"/>
        </w:rPr>
        <w:fldChar w:fldCharType="end"/>
      </w:r>
      <w:r w:rsidRPr="005C47C5">
        <w:rPr>
          <w:sz w:val="24"/>
        </w:rPr>
        <w:t xml:space="preserve">) рабочих дней с даты </w:t>
      </w:r>
      <w:r w:rsidRPr="005C47C5">
        <w:rPr>
          <w:rStyle w:val="a4"/>
          <w:rFonts w:ascii="Times New Roman" w:hAnsi="Times New Roman"/>
          <w:sz w:val="24"/>
        </w:rPr>
        <w:t>подписания Сторонами настоящего Договора</w:t>
      </w:r>
      <w:r w:rsidRPr="005C47C5">
        <w:rPr>
          <w:sz w:val="24"/>
        </w:rPr>
        <w:t xml:space="preserve"> (далее – «дата предоставления права использования программ для ЭВМ»).</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lastRenderedPageBreak/>
        <w:t xml:space="preserve">Не позднее 5 (пяти) рабочих дней с даты предоставления права использования программ для ЭВМ по настоящему Договору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w:t>
      </w:r>
      <w:proofErr w:type="gramStart"/>
      <w:r w:rsidRPr="005C47C5">
        <w:rPr>
          <w:sz w:val="24"/>
        </w:rPr>
        <w:t>подписанным  Сублицензиатом</w:t>
      </w:r>
      <w:proofErr w:type="gramEnd"/>
      <w:r w:rsidRPr="005C47C5">
        <w:rPr>
          <w:sz w:val="24"/>
        </w:rPr>
        <w:t xml:space="preserve"> без замечаний в последний день срока, установленного для его подписания. Стороны соглашаются с тем, что Акт предоставления прав не является подтверждением факта передачи права использования соответствующих программ для ЭВМ и не подписание Акта не является признаком </w:t>
      </w:r>
      <w:proofErr w:type="spellStart"/>
      <w:r w:rsidRPr="005C47C5">
        <w:rPr>
          <w:sz w:val="24"/>
        </w:rPr>
        <w:t>непредоставления</w:t>
      </w:r>
      <w:proofErr w:type="spellEnd"/>
      <w:r w:rsidRPr="005C47C5">
        <w:rPr>
          <w:sz w:val="24"/>
        </w:rPr>
        <w:t xml:space="preserve"> права использования Лицензиатом.</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986949" w:rsidRPr="005C47C5" w:rsidRDefault="00986949" w:rsidP="00986949">
      <w:pPr>
        <w:rPr>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Порядок расчётов</w:t>
      </w:r>
    </w:p>
    <w:p w:rsidR="00986949" w:rsidRPr="005C47C5" w:rsidRDefault="00986949" w:rsidP="00AC3B15">
      <w:pPr>
        <w:widowControl/>
        <w:numPr>
          <w:ilvl w:val="1"/>
          <w:numId w:val="1"/>
        </w:numPr>
        <w:tabs>
          <w:tab w:val="clear" w:pos="900"/>
        </w:tabs>
        <w:ind w:left="0" w:firstLine="0"/>
        <w:rPr>
          <w:sz w:val="24"/>
        </w:rPr>
      </w:pPr>
      <w:r w:rsidRPr="005C47C5">
        <w:rPr>
          <w:sz w:val="24"/>
        </w:rPr>
        <w:t xml:space="preserve">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 </w:t>
      </w:r>
      <w:r w:rsidR="00386F5A" w:rsidRPr="005C47C5">
        <w:rPr>
          <w:sz w:val="24"/>
        </w:rPr>
        <w:t>95 353,31</w:t>
      </w:r>
      <w:r w:rsidRPr="005C47C5">
        <w:rPr>
          <w:sz w:val="24"/>
        </w:rPr>
        <w:t xml:space="preserve"> </w:t>
      </w:r>
      <w:r w:rsidR="00AC3B15" w:rsidRPr="005C47C5">
        <w:rPr>
          <w:sz w:val="24"/>
        </w:rPr>
        <w:t xml:space="preserve">(девяносто пять тысяч триста пятьдесят </w:t>
      </w:r>
      <w:proofErr w:type="gramStart"/>
      <w:r w:rsidR="00AC3B15" w:rsidRPr="005C47C5">
        <w:rPr>
          <w:sz w:val="24"/>
        </w:rPr>
        <w:t>три)  рубля</w:t>
      </w:r>
      <w:proofErr w:type="gramEnd"/>
      <w:r w:rsidR="00AC3B15" w:rsidRPr="005C47C5">
        <w:rPr>
          <w:sz w:val="24"/>
        </w:rPr>
        <w:t xml:space="preserve"> 31 копейка</w:t>
      </w:r>
      <w:r w:rsidRPr="005C47C5">
        <w:rPr>
          <w:sz w:val="24"/>
        </w:rPr>
        <w:t>, НДС не облагается в силу пп.26 п.2 ст.149 НК РФ.</w:t>
      </w:r>
    </w:p>
    <w:p w:rsidR="00986949" w:rsidRPr="005C47C5" w:rsidRDefault="00986949" w:rsidP="00986949">
      <w:pPr>
        <w:widowControl/>
        <w:numPr>
          <w:ilvl w:val="1"/>
          <w:numId w:val="1"/>
        </w:numPr>
        <w:tabs>
          <w:tab w:val="clear" w:pos="900"/>
          <w:tab w:val="num" w:pos="567"/>
        </w:tabs>
        <w:ind w:left="0" w:firstLine="0"/>
        <w:rPr>
          <w:sz w:val="24"/>
        </w:rPr>
      </w:pPr>
      <w:r w:rsidRPr="005C47C5">
        <w:rPr>
          <w:sz w:val="24"/>
        </w:rPr>
        <w:t xml:space="preserve">Оплата Сублицензиатом цены настоящего Договора производится в течение 30 (Тридцати) рабочих дней с даты </w:t>
      </w:r>
      <w:r w:rsidRPr="005C47C5">
        <w:rPr>
          <w:rStyle w:val="a4"/>
          <w:rFonts w:ascii="Times New Roman" w:hAnsi="Times New Roman"/>
          <w:sz w:val="24"/>
        </w:rPr>
        <w:t>предоставления права использования - в полном размере. При несоблюдении предусмотренных настоящим Договором сроков оплаты Сублицензиат уплачивает Лицензиату пеню в размере 0,1 % (ноль целых одна десятая процента) от неоплаченной в срок суммы за каждый день просрочки.</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986949" w:rsidRPr="005C47C5" w:rsidRDefault="00986949" w:rsidP="00986949">
      <w:pPr>
        <w:tabs>
          <w:tab w:val="left" w:pos="567"/>
        </w:tabs>
        <w:rPr>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Ответственность Сторон</w:t>
      </w:r>
    </w:p>
    <w:p w:rsidR="00986949" w:rsidRPr="005C47C5" w:rsidRDefault="00986949" w:rsidP="00986949">
      <w:pPr>
        <w:pStyle w:val="a3"/>
        <w:numPr>
          <w:ilvl w:val="1"/>
          <w:numId w:val="1"/>
        </w:numPr>
        <w:tabs>
          <w:tab w:val="clear" w:pos="900"/>
          <w:tab w:val="num" w:pos="567"/>
        </w:tabs>
        <w:spacing w:line="240" w:lineRule="auto"/>
        <w:ind w:left="0" w:firstLine="0"/>
        <w:rPr>
          <w:sz w:val="24"/>
          <w:szCs w:val="24"/>
          <w:lang w:val="ru-RU"/>
        </w:rPr>
      </w:pPr>
      <w:r w:rsidRPr="005C47C5">
        <w:rPr>
          <w:sz w:val="24"/>
          <w:szCs w:val="24"/>
          <w:lang w:val="ru-RU"/>
        </w:rPr>
        <w:t>При несоблюдении Лицензиатом предусмотренных настоящим Договором сроков исполнения обязательств Сублицензиат вправе потребовать уплаты Лицензиатом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lastRenderedPageBreak/>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rsidR="00986949" w:rsidRPr="005C47C5" w:rsidRDefault="00986949" w:rsidP="00986949">
      <w:pPr>
        <w:rPr>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Техническая поддержка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Базовая техническая поддержка в отношении использования программ для ЭВМ, предусмотренных настоящим </w:t>
      </w:r>
      <w:proofErr w:type="gramStart"/>
      <w:r w:rsidRPr="005C47C5">
        <w:rPr>
          <w:sz w:val="24"/>
        </w:rPr>
        <w:t>Договором,  осуществляется</w:t>
      </w:r>
      <w:proofErr w:type="gramEnd"/>
      <w:r w:rsidRPr="005C47C5">
        <w:rPr>
          <w:sz w:val="24"/>
        </w:rPr>
        <w:t xml:space="preserve"> Лицензиатом в течение 3 (трех) месяцев, с момента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5C47C5">
        <w:rPr>
          <w:sz w:val="24"/>
        </w:rPr>
        <w:t>mail</w:t>
      </w:r>
      <w:proofErr w:type="spellEnd"/>
      <w:r w:rsidRPr="005C47C5">
        <w:rPr>
          <w:sz w:val="24"/>
        </w:rPr>
        <w:t xml:space="preserve">, </w:t>
      </w:r>
      <w:proofErr w:type="spellStart"/>
      <w:r w:rsidRPr="005C47C5">
        <w:rPr>
          <w:sz w:val="24"/>
        </w:rPr>
        <w:t>HelpDesk</w:t>
      </w:r>
      <w:proofErr w:type="spellEnd"/>
      <w:r w:rsidRPr="005C47C5">
        <w:rPr>
          <w:sz w:val="24"/>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 </w:t>
      </w:r>
    </w:p>
    <w:p w:rsidR="00986949" w:rsidRPr="005C47C5" w:rsidRDefault="00986949" w:rsidP="00986949">
      <w:pPr>
        <w:rPr>
          <w:sz w:val="24"/>
        </w:rPr>
      </w:pPr>
    </w:p>
    <w:p w:rsidR="00986949" w:rsidRPr="005C47C5" w:rsidRDefault="00986949" w:rsidP="005C47C5">
      <w:pPr>
        <w:widowControl/>
        <w:numPr>
          <w:ilvl w:val="0"/>
          <w:numId w:val="1"/>
        </w:numPr>
        <w:tabs>
          <w:tab w:val="clear" w:pos="720"/>
          <w:tab w:val="num" w:pos="567"/>
        </w:tabs>
        <w:ind w:left="0" w:firstLine="0"/>
        <w:jc w:val="center"/>
        <w:rPr>
          <w:b/>
          <w:sz w:val="24"/>
        </w:rPr>
      </w:pPr>
      <w:r w:rsidRPr="005C47C5">
        <w:rPr>
          <w:b/>
          <w:sz w:val="24"/>
        </w:rPr>
        <w:t>Обстоятельства непреодолимой силы</w:t>
      </w:r>
    </w:p>
    <w:p w:rsidR="00986949" w:rsidRPr="005C47C5" w:rsidRDefault="00986949" w:rsidP="00986949">
      <w:pPr>
        <w:widowControl/>
        <w:numPr>
          <w:ilvl w:val="1"/>
          <w:numId w:val="1"/>
        </w:numPr>
        <w:tabs>
          <w:tab w:val="clear" w:pos="900"/>
          <w:tab w:val="num" w:pos="567"/>
        </w:tabs>
        <w:ind w:left="0" w:firstLine="0"/>
        <w:rPr>
          <w:sz w:val="24"/>
        </w:rPr>
      </w:pPr>
      <w:r w:rsidRPr="005C47C5">
        <w:rPr>
          <w:sz w:val="24"/>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rsidR="00986949" w:rsidRPr="005C47C5" w:rsidRDefault="00986949" w:rsidP="00986949">
      <w:pPr>
        <w:widowControl/>
        <w:numPr>
          <w:ilvl w:val="1"/>
          <w:numId w:val="1"/>
        </w:numPr>
        <w:tabs>
          <w:tab w:val="clear" w:pos="900"/>
          <w:tab w:val="num" w:pos="567"/>
        </w:tabs>
        <w:ind w:left="0" w:firstLine="0"/>
        <w:rPr>
          <w:sz w:val="24"/>
        </w:rPr>
      </w:pPr>
      <w:r w:rsidRPr="005C47C5">
        <w:rPr>
          <w:sz w:val="24"/>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986949" w:rsidRPr="005C47C5" w:rsidRDefault="00986949" w:rsidP="00986949">
      <w:pPr>
        <w:widowControl/>
        <w:numPr>
          <w:ilvl w:val="1"/>
          <w:numId w:val="1"/>
        </w:numPr>
        <w:tabs>
          <w:tab w:val="clear" w:pos="900"/>
          <w:tab w:val="num" w:pos="567"/>
        </w:tabs>
        <w:ind w:left="0" w:firstLine="0"/>
        <w:rPr>
          <w:sz w:val="24"/>
        </w:rPr>
      </w:pPr>
      <w:r w:rsidRPr="005C47C5">
        <w:rPr>
          <w:sz w:val="24"/>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rsidR="00986949" w:rsidRPr="005C47C5" w:rsidRDefault="00986949" w:rsidP="00986949">
      <w:pPr>
        <w:rPr>
          <w:snapToGrid w:val="0"/>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Конфиденциальность</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w:t>
      </w:r>
      <w:r w:rsidRPr="005C47C5">
        <w:rPr>
          <w:sz w:val="24"/>
        </w:rPr>
        <w:lastRenderedPageBreak/>
        <w:t xml:space="preserve">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986949" w:rsidRPr="005C47C5" w:rsidRDefault="00986949" w:rsidP="00986949">
      <w:pPr>
        <w:rPr>
          <w:sz w:val="24"/>
        </w:rPr>
      </w:pPr>
      <w:r w:rsidRPr="005C47C5">
        <w:rPr>
          <w:sz w:val="24"/>
        </w:rPr>
        <w:t>— хранить конфиденциальную информацию исключительно в предназначенных для этого местах, исключающих доступ к ней третьих лиц;</w:t>
      </w:r>
    </w:p>
    <w:p w:rsidR="00986949" w:rsidRPr="005C47C5" w:rsidRDefault="00986949" w:rsidP="00986949">
      <w:pPr>
        <w:rPr>
          <w:sz w:val="24"/>
        </w:rPr>
      </w:pPr>
      <w:r w:rsidRPr="005C47C5">
        <w:rPr>
          <w:sz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5C47C5">
        <w:rPr>
          <w:sz w:val="24"/>
        </w:rPr>
        <w:noBreakHyphen/>
        <w:t>ФЗ от 27.07.2006.</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w:t>
      </w:r>
      <w:proofErr w:type="gramStart"/>
      <w:r w:rsidRPr="005C47C5">
        <w:rPr>
          <w:sz w:val="24"/>
        </w:rPr>
        <w:t>информации  третьим</w:t>
      </w:r>
      <w:proofErr w:type="gramEnd"/>
      <w:r w:rsidRPr="005C47C5">
        <w:rPr>
          <w:sz w:val="24"/>
        </w:rPr>
        <w:t xml:space="preserve"> лицам (устная, письменная, с использованием технических средств и др.) не имеет значения.</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986949" w:rsidRPr="005C47C5" w:rsidRDefault="00986949" w:rsidP="00986949">
      <w:pPr>
        <w:rPr>
          <w:b/>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lastRenderedPageBreak/>
        <w:t>Порядок разрешения споров</w:t>
      </w:r>
    </w:p>
    <w:p w:rsidR="00986949" w:rsidRPr="005C47C5" w:rsidRDefault="00986949" w:rsidP="00986949">
      <w:pPr>
        <w:widowControl/>
        <w:numPr>
          <w:ilvl w:val="1"/>
          <w:numId w:val="1"/>
        </w:numPr>
        <w:tabs>
          <w:tab w:val="left" w:pos="567"/>
        </w:tabs>
        <w:ind w:left="0" w:firstLine="0"/>
        <w:rPr>
          <w:sz w:val="24"/>
        </w:rPr>
      </w:pPr>
      <w:r w:rsidRPr="005C47C5">
        <w:rPr>
          <w:sz w:val="24"/>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Если стороны не урегулировали возникшие разногласия в претензионном порядке любая из Сторон вправе обратиться в Арбитражный суд Республики Татарстан за защитой своих законных прав и интересов вне зависимости от встречного исполнения обязательства другой Стороной.</w:t>
      </w:r>
    </w:p>
    <w:p w:rsidR="00986949" w:rsidRPr="005C47C5" w:rsidRDefault="00986949" w:rsidP="00986949">
      <w:pPr>
        <w:rPr>
          <w:snapToGrid w:val="0"/>
          <w:sz w:val="24"/>
        </w:rPr>
      </w:pPr>
    </w:p>
    <w:p w:rsidR="00986949" w:rsidRPr="005C47C5" w:rsidRDefault="00986949" w:rsidP="005C47C5">
      <w:pPr>
        <w:widowControl/>
        <w:numPr>
          <w:ilvl w:val="0"/>
          <w:numId w:val="1"/>
        </w:numPr>
        <w:tabs>
          <w:tab w:val="clear" w:pos="720"/>
          <w:tab w:val="num" w:pos="561"/>
        </w:tabs>
        <w:ind w:left="0" w:firstLine="0"/>
        <w:jc w:val="center"/>
        <w:rPr>
          <w:b/>
          <w:sz w:val="24"/>
        </w:rPr>
      </w:pPr>
      <w:r w:rsidRPr="005C47C5">
        <w:rPr>
          <w:b/>
          <w:sz w:val="24"/>
        </w:rPr>
        <w:t>Действие Договора. Иные условия</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Настоящий Договор вступает в силу с момента его подписания обеими Сторонами и действует до исполнения Сторонами всех своих обязательств по нему. При расторжении настоящего Договора по любым основаниям, не связанным с нарушением Сублицензиатом условий настоящего Договора, в том числе условий использования программ для ЭВМ, права использования программ для ЭВМ, предоставленные Сублицензиату по настоящему Договору до момента его расторжения, не прекращаются и действуют в течение всего срока, на который они были предоставлены.</w:t>
      </w:r>
    </w:p>
    <w:p w:rsidR="00986949" w:rsidRPr="005C47C5" w:rsidRDefault="00986949" w:rsidP="00986949">
      <w:pPr>
        <w:widowControl/>
        <w:numPr>
          <w:ilvl w:val="1"/>
          <w:numId w:val="1"/>
        </w:numPr>
        <w:tabs>
          <w:tab w:val="clear" w:pos="900"/>
          <w:tab w:val="num" w:pos="561"/>
        </w:tabs>
        <w:ind w:left="0" w:firstLine="0"/>
        <w:rPr>
          <w:sz w:val="24"/>
        </w:rPr>
      </w:pPr>
      <w:r w:rsidRPr="005C47C5">
        <w:rPr>
          <w:bCs/>
          <w:sz w:val="24"/>
        </w:rPr>
        <w:t>Настоящий Договор составлен в двух экземплярах, имеющих одинаковую юридическую силу, по одному экземпляру для каждой из Сторон.</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Если иное не установлено Договором или законом, ни одна из Сторон не вправе в одностороннем порядке отказываться от исполнения Договора.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При приобретении Лицензиатом у соответствующих правообладателей права использования программ для ЭВМ для последующей передачи Сублицензиату по настоящему Договору, указанными правообладателями может быть предусмотрено обязательное заполнение и/или подписание Сублицензиатом различных документов, необходимых для принятия и обработки заказа Лицензиата на такие права использования.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Сублицензиатом лицензий на программы для ЭВМ указанного правообладателя, лицензионные условия, руководства по использованию и прочие документы (далее – Регистрационная документация). При наличии указанных требований правообладателя, Сублицензиат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своих обязательств по предоставлению прав использования соответствующих программ для ЭВМ полностью или частично либо отодвинуть срок их передачи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Лицензиат не несет ответственности за убытки, которые могут возникнуть у Сублицензиата ввиду предоставления Лицензиату недостоверных или неточных сведений при заполнении Регистрационной документации, в частности, ввиду сообщения неверного электронного адреса для направления Сублицензиату экземпляров, документации и технических средств защиты программ для ЭВМ, неверных данных о компании Сублицензиата для регистрации лицензии, а также в иных подобных случаях. 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w:t>
      </w:r>
      <w:r w:rsidRPr="005C47C5">
        <w:rPr>
          <w:sz w:val="24"/>
        </w:rPr>
        <w:lastRenderedPageBreak/>
        <w:t xml:space="preserve">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5C47C5">
        <w:rPr>
          <w:i/>
          <w:sz w:val="24"/>
        </w:rPr>
        <w:t>противоречащих</w:t>
      </w:r>
      <w:r w:rsidRPr="005C47C5">
        <w:rPr>
          <w:sz w:val="24"/>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986949" w:rsidRPr="005C47C5" w:rsidRDefault="00986949" w:rsidP="00986949">
      <w:pPr>
        <w:widowControl/>
        <w:numPr>
          <w:ilvl w:val="1"/>
          <w:numId w:val="2"/>
        </w:numPr>
        <w:tabs>
          <w:tab w:val="clear" w:pos="1260"/>
          <w:tab w:val="num" w:pos="561"/>
        </w:tabs>
        <w:ind w:left="561" w:hanging="309"/>
        <w:rPr>
          <w:sz w:val="24"/>
        </w:rPr>
      </w:pPr>
      <w:r w:rsidRPr="005C47C5">
        <w:rPr>
          <w:sz w:val="24"/>
        </w:rPr>
        <w:t>в случае просрочки другой Стороной срока исполнения своего обязательства более чем на 60 (шестьдесят) календарных дней;</w:t>
      </w:r>
    </w:p>
    <w:p w:rsidR="00986949" w:rsidRPr="005C47C5" w:rsidRDefault="00986949" w:rsidP="00986949">
      <w:pPr>
        <w:widowControl/>
        <w:numPr>
          <w:ilvl w:val="1"/>
          <w:numId w:val="2"/>
        </w:numPr>
        <w:tabs>
          <w:tab w:val="clear" w:pos="1260"/>
          <w:tab w:val="num" w:pos="561"/>
        </w:tabs>
        <w:ind w:left="561" w:hanging="309"/>
        <w:rPr>
          <w:sz w:val="24"/>
        </w:rPr>
      </w:pPr>
      <w:r w:rsidRPr="005C47C5">
        <w:rPr>
          <w:sz w:val="24"/>
        </w:rPr>
        <w:t>в случае прекращения хозяйственной деятельности другой Стороной, ее ликвидации или банкротства.</w:t>
      </w:r>
    </w:p>
    <w:p w:rsidR="00986949" w:rsidRPr="005C47C5" w:rsidRDefault="00986949" w:rsidP="00986949">
      <w:pPr>
        <w:widowControl/>
        <w:numPr>
          <w:ilvl w:val="1"/>
          <w:numId w:val="1"/>
        </w:numPr>
        <w:tabs>
          <w:tab w:val="clear" w:pos="900"/>
          <w:tab w:val="num" w:pos="561"/>
        </w:tabs>
        <w:ind w:left="0" w:firstLine="0"/>
        <w:rPr>
          <w:sz w:val="24"/>
        </w:rPr>
      </w:pPr>
      <w:r w:rsidRPr="005C47C5">
        <w:rPr>
          <w:sz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986949" w:rsidRPr="005C47C5" w:rsidRDefault="00986949" w:rsidP="00986949">
      <w:pPr>
        <w:widowControl/>
        <w:numPr>
          <w:ilvl w:val="1"/>
          <w:numId w:val="1"/>
        </w:numPr>
        <w:tabs>
          <w:tab w:val="clear" w:pos="900"/>
          <w:tab w:val="num" w:pos="180"/>
        </w:tabs>
        <w:ind w:left="0" w:firstLine="0"/>
        <w:rPr>
          <w:sz w:val="24"/>
        </w:rPr>
      </w:pPr>
      <w:r w:rsidRPr="005C47C5">
        <w:rPr>
          <w:sz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rsidR="00986949" w:rsidRPr="005C47C5" w:rsidRDefault="00986949" w:rsidP="00986949">
      <w:pPr>
        <w:rPr>
          <w:sz w:val="24"/>
        </w:rPr>
      </w:pPr>
    </w:p>
    <w:p w:rsidR="00986949" w:rsidRPr="005C47C5" w:rsidRDefault="00986949" w:rsidP="00986949">
      <w:pPr>
        <w:widowControl/>
        <w:numPr>
          <w:ilvl w:val="0"/>
          <w:numId w:val="1"/>
        </w:numPr>
        <w:tabs>
          <w:tab w:val="clear" w:pos="720"/>
          <w:tab w:val="num" w:pos="561"/>
        </w:tabs>
        <w:ind w:left="0" w:firstLine="0"/>
        <w:rPr>
          <w:b/>
          <w:sz w:val="24"/>
        </w:rPr>
      </w:pPr>
      <w:r w:rsidRPr="005C47C5">
        <w:rPr>
          <w:b/>
          <w:sz w:val="24"/>
        </w:rPr>
        <w:t>Реквизиты Сторон</w:t>
      </w:r>
    </w:p>
    <w:p w:rsidR="00986949" w:rsidRPr="005C47C5" w:rsidRDefault="00986949" w:rsidP="00986949">
      <w:pPr>
        <w:rPr>
          <w:b/>
          <w:sz w:val="24"/>
        </w:rPr>
      </w:pPr>
    </w:p>
    <w:tbl>
      <w:tblPr>
        <w:tblW w:w="0" w:type="auto"/>
        <w:tblLook w:val="01E0" w:firstRow="1" w:lastRow="1" w:firstColumn="1" w:lastColumn="1" w:noHBand="0" w:noVBand="0"/>
      </w:tblPr>
      <w:tblGrid>
        <w:gridCol w:w="4704"/>
        <w:gridCol w:w="4651"/>
      </w:tblGrid>
      <w:tr w:rsidR="00986949" w:rsidRPr="005C47C5" w:rsidTr="00634272">
        <w:trPr>
          <w:trHeight w:val="2365"/>
        </w:trPr>
        <w:tc>
          <w:tcPr>
            <w:tcW w:w="4828" w:type="dxa"/>
          </w:tcPr>
          <w:p w:rsidR="00986949" w:rsidRPr="005C47C5" w:rsidRDefault="00986949" w:rsidP="00634272">
            <w:pPr>
              <w:jc w:val="center"/>
              <w:rPr>
                <w:b/>
                <w:sz w:val="24"/>
              </w:rPr>
            </w:pPr>
            <w:r w:rsidRPr="005C47C5">
              <w:rPr>
                <w:b/>
                <w:sz w:val="24"/>
              </w:rPr>
              <w:t>Лицензиат:</w:t>
            </w:r>
          </w:p>
          <w:p w:rsidR="00AC3B15" w:rsidRPr="005C47C5" w:rsidRDefault="00AC3B15" w:rsidP="00AC3B15">
            <w:pPr>
              <w:jc w:val="left"/>
              <w:rPr>
                <w:sz w:val="24"/>
              </w:rPr>
            </w:pPr>
            <w:r w:rsidRPr="005C47C5">
              <w:rPr>
                <w:sz w:val="24"/>
              </w:rPr>
              <w:t>ООО "ГЕОКЭПИТАЛ"</w:t>
            </w:r>
          </w:p>
          <w:p w:rsidR="00AC3B15" w:rsidRPr="005C47C5" w:rsidRDefault="00AC3B15" w:rsidP="00AC3B15">
            <w:pPr>
              <w:jc w:val="left"/>
              <w:rPr>
                <w:sz w:val="24"/>
              </w:rPr>
            </w:pPr>
            <w:r w:rsidRPr="005C47C5">
              <w:rPr>
                <w:sz w:val="24"/>
              </w:rPr>
              <w:t>Адрес: 107031, Москва, ул. Пушечная, д. 7/5, стр. 4А\</w:t>
            </w:r>
          </w:p>
          <w:p w:rsidR="00AC3B15" w:rsidRPr="005C47C5" w:rsidRDefault="00AC3B15" w:rsidP="00AC3B15">
            <w:pPr>
              <w:jc w:val="left"/>
              <w:rPr>
                <w:sz w:val="24"/>
              </w:rPr>
            </w:pPr>
            <w:r w:rsidRPr="005C47C5">
              <w:rPr>
                <w:sz w:val="24"/>
              </w:rPr>
              <w:t>ОГРН 1057749353474</w:t>
            </w:r>
          </w:p>
          <w:p w:rsidR="00AC3B15" w:rsidRPr="005C47C5" w:rsidRDefault="00AC3B15" w:rsidP="00AC3B15">
            <w:pPr>
              <w:jc w:val="left"/>
              <w:rPr>
                <w:sz w:val="24"/>
              </w:rPr>
            </w:pPr>
            <w:r w:rsidRPr="005C47C5">
              <w:rPr>
                <w:sz w:val="24"/>
              </w:rPr>
              <w:t xml:space="preserve">ИНН 7702587343 </w:t>
            </w:r>
            <w:proofErr w:type="gramStart"/>
            <w:r w:rsidRPr="005C47C5">
              <w:rPr>
                <w:sz w:val="24"/>
              </w:rPr>
              <w:t>КПП  770201001</w:t>
            </w:r>
            <w:proofErr w:type="gramEnd"/>
          </w:p>
          <w:p w:rsidR="00AC3B15" w:rsidRPr="005C47C5" w:rsidRDefault="00AC3B15" w:rsidP="00AC3B15">
            <w:pPr>
              <w:jc w:val="left"/>
              <w:rPr>
                <w:sz w:val="24"/>
              </w:rPr>
            </w:pPr>
            <w:r w:rsidRPr="005C47C5">
              <w:rPr>
                <w:sz w:val="24"/>
              </w:rPr>
              <w:t>АО «АЛЬФА-БАНК» 107078, МОСКВА, УЛ. КАЛАНЧЕВСКАЯ,27</w:t>
            </w:r>
          </w:p>
          <w:p w:rsidR="00AC3B15" w:rsidRPr="005C47C5" w:rsidRDefault="00AC3B15" w:rsidP="00AC3B15">
            <w:pPr>
              <w:jc w:val="left"/>
              <w:rPr>
                <w:sz w:val="24"/>
              </w:rPr>
            </w:pPr>
            <w:proofErr w:type="gramStart"/>
            <w:r w:rsidRPr="005C47C5">
              <w:rPr>
                <w:sz w:val="24"/>
              </w:rPr>
              <w:t>БИК  044525593</w:t>
            </w:r>
            <w:proofErr w:type="gramEnd"/>
          </w:p>
          <w:p w:rsidR="00AC3B15" w:rsidRPr="005C47C5" w:rsidRDefault="00AC3B15" w:rsidP="00AC3B15">
            <w:pPr>
              <w:jc w:val="left"/>
              <w:rPr>
                <w:sz w:val="24"/>
              </w:rPr>
            </w:pPr>
            <w:r w:rsidRPr="005C47C5">
              <w:rPr>
                <w:sz w:val="24"/>
              </w:rPr>
              <w:t>р/с   40702810901300006536</w:t>
            </w:r>
          </w:p>
          <w:p w:rsidR="00AC3B15" w:rsidRPr="005C47C5" w:rsidRDefault="00AC3B15" w:rsidP="00AC3B15">
            <w:pPr>
              <w:jc w:val="left"/>
              <w:rPr>
                <w:sz w:val="24"/>
              </w:rPr>
            </w:pPr>
            <w:r w:rsidRPr="005C47C5">
              <w:rPr>
                <w:sz w:val="24"/>
              </w:rPr>
              <w:t>к/с 30101810200000000593</w:t>
            </w:r>
          </w:p>
          <w:p w:rsidR="00AC3B15" w:rsidRPr="005C47C5" w:rsidRDefault="00AC3B15" w:rsidP="00AC3B15">
            <w:pPr>
              <w:jc w:val="left"/>
              <w:rPr>
                <w:sz w:val="24"/>
              </w:rPr>
            </w:pPr>
            <w:r w:rsidRPr="005C47C5">
              <w:rPr>
                <w:sz w:val="24"/>
              </w:rPr>
              <w:t>ОКПО 79428971</w:t>
            </w:r>
          </w:p>
          <w:p w:rsidR="00AC3B15" w:rsidRPr="005C47C5" w:rsidRDefault="00AC3B15" w:rsidP="00AC3B15">
            <w:pPr>
              <w:rPr>
                <w:sz w:val="24"/>
              </w:rPr>
            </w:pPr>
            <w:r w:rsidRPr="005C47C5">
              <w:rPr>
                <w:sz w:val="24"/>
              </w:rPr>
              <w:t>Контактное лицо: Марина Логвина</w:t>
            </w:r>
          </w:p>
          <w:p w:rsidR="00986949" w:rsidRPr="005C47C5" w:rsidRDefault="00AC3B15" w:rsidP="00AC3B15">
            <w:pPr>
              <w:rPr>
                <w:sz w:val="24"/>
              </w:rPr>
            </w:pPr>
            <w:r w:rsidRPr="005C47C5">
              <w:rPr>
                <w:sz w:val="24"/>
              </w:rPr>
              <w:t>Т 8-800-232-00-23 доб. 6131 | М +7(961)616-72-26 |  Marina.Logvina@softline.com</w:t>
            </w:r>
          </w:p>
        </w:tc>
        <w:tc>
          <w:tcPr>
            <w:tcW w:w="4742" w:type="dxa"/>
          </w:tcPr>
          <w:p w:rsidR="00986949" w:rsidRPr="005C47C5" w:rsidRDefault="00986949" w:rsidP="00634272">
            <w:pPr>
              <w:jc w:val="center"/>
              <w:rPr>
                <w:b/>
                <w:sz w:val="24"/>
              </w:rPr>
            </w:pPr>
            <w:r w:rsidRPr="005C47C5">
              <w:rPr>
                <w:b/>
                <w:sz w:val="24"/>
              </w:rPr>
              <w:t>Сублицензиат:</w:t>
            </w:r>
          </w:p>
          <w:p w:rsidR="00986949" w:rsidRPr="005C47C5" w:rsidRDefault="00986949" w:rsidP="00634272">
            <w:pPr>
              <w:rPr>
                <w:b/>
                <w:sz w:val="24"/>
              </w:rPr>
            </w:pPr>
            <w:r w:rsidRPr="005C47C5">
              <w:rPr>
                <w:b/>
                <w:sz w:val="24"/>
              </w:rPr>
              <w:fldChar w:fldCharType="begin">
                <w:ffData>
                  <w:name w:val=""/>
                  <w:enabled/>
                  <w:calcOnExit w:val="0"/>
                  <w:textInput>
                    <w:default w:val="АО «Казэнерго»"/>
                  </w:textInput>
                </w:ffData>
              </w:fldChar>
            </w:r>
            <w:r w:rsidRPr="005C47C5">
              <w:rPr>
                <w:b/>
                <w:sz w:val="24"/>
              </w:rPr>
              <w:instrText xml:space="preserve"> FORMTEXT </w:instrText>
            </w:r>
            <w:r w:rsidRPr="005C47C5">
              <w:rPr>
                <w:b/>
                <w:sz w:val="24"/>
              </w:rPr>
            </w:r>
            <w:r w:rsidRPr="005C47C5">
              <w:rPr>
                <w:b/>
                <w:sz w:val="24"/>
              </w:rPr>
              <w:fldChar w:fldCharType="separate"/>
            </w:r>
            <w:r w:rsidRPr="005C47C5">
              <w:rPr>
                <w:b/>
                <w:noProof/>
                <w:sz w:val="24"/>
              </w:rPr>
              <w:t>АО «Казэнерго»</w:t>
            </w:r>
            <w:r w:rsidRPr="005C47C5">
              <w:rPr>
                <w:b/>
                <w:sz w:val="24"/>
              </w:rPr>
              <w:fldChar w:fldCharType="end"/>
            </w:r>
          </w:p>
          <w:p w:rsidR="00986949" w:rsidRPr="005C47C5" w:rsidRDefault="00986949" w:rsidP="00634272">
            <w:pPr>
              <w:rPr>
                <w:sz w:val="24"/>
              </w:rPr>
            </w:pPr>
            <w:r w:rsidRPr="005C47C5">
              <w:rPr>
                <w:sz w:val="24"/>
              </w:rPr>
              <w:t xml:space="preserve">Адрес места нахождения: </w:t>
            </w:r>
            <w:r w:rsidRPr="005C47C5">
              <w:rPr>
                <w:sz w:val="24"/>
              </w:rPr>
              <w:fldChar w:fldCharType="begin">
                <w:ffData>
                  <w:name w:val=""/>
                  <w:enabled/>
                  <w:calcOnExit w:val="0"/>
                  <w:textInput>
                    <w:default w:val="420021, Республика Татарстан, г. Казань, ул. Тукая, д.162"/>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420021, Республика Татарстан, г. Казань, ул. Тукая, д.162</w:t>
            </w:r>
            <w:r w:rsidRPr="005C47C5">
              <w:rPr>
                <w:sz w:val="24"/>
              </w:rPr>
              <w:fldChar w:fldCharType="end"/>
            </w:r>
            <w:r w:rsidRPr="005C47C5">
              <w:rPr>
                <w:sz w:val="24"/>
              </w:rPr>
              <w:t xml:space="preserve"> </w:t>
            </w:r>
          </w:p>
          <w:p w:rsidR="00986949" w:rsidRPr="005C47C5" w:rsidRDefault="00986949" w:rsidP="00634272">
            <w:pPr>
              <w:rPr>
                <w:sz w:val="24"/>
              </w:rPr>
            </w:pPr>
            <w:r w:rsidRPr="005C47C5">
              <w:rPr>
                <w:sz w:val="24"/>
              </w:rPr>
              <w:t xml:space="preserve">ОГРН: </w:t>
            </w:r>
            <w:r w:rsidR="00486DDC">
              <w:rPr>
                <w:sz w:val="24"/>
              </w:rPr>
              <w:t>1141690017028</w:t>
            </w:r>
            <w:bookmarkStart w:id="2" w:name="_GoBack"/>
            <w:bookmarkEnd w:id="2"/>
            <w:r w:rsidRPr="005C47C5">
              <w:rPr>
                <w:sz w:val="24"/>
              </w:rPr>
              <w:t xml:space="preserve"> </w:t>
            </w:r>
          </w:p>
          <w:p w:rsidR="00486DDC" w:rsidRDefault="00986949" w:rsidP="00634272">
            <w:pPr>
              <w:rPr>
                <w:sz w:val="24"/>
              </w:rPr>
            </w:pPr>
            <w:r w:rsidRPr="005C47C5">
              <w:rPr>
                <w:sz w:val="24"/>
              </w:rPr>
              <w:t xml:space="preserve">ИНН/КПП: </w:t>
            </w:r>
            <w:r w:rsidR="00486DDC">
              <w:rPr>
                <w:sz w:val="24"/>
              </w:rPr>
              <w:t>1659143468/165901001</w:t>
            </w:r>
          </w:p>
          <w:p w:rsidR="00986949" w:rsidRPr="005C47C5" w:rsidRDefault="00986949" w:rsidP="00634272">
            <w:pPr>
              <w:rPr>
                <w:sz w:val="24"/>
              </w:rPr>
            </w:pPr>
            <w:r w:rsidRPr="005C47C5">
              <w:rPr>
                <w:sz w:val="24"/>
              </w:rPr>
              <w:t xml:space="preserve">Расчетный счет: </w:t>
            </w:r>
            <w:r w:rsidR="00486DDC">
              <w:rPr>
                <w:sz w:val="24"/>
              </w:rPr>
              <w:t>40702810900010003957</w:t>
            </w:r>
          </w:p>
          <w:p w:rsidR="00986949" w:rsidRPr="005C47C5" w:rsidRDefault="00986949" w:rsidP="00634272">
            <w:pPr>
              <w:rPr>
                <w:sz w:val="24"/>
              </w:rPr>
            </w:pPr>
            <w:r w:rsidRPr="005C47C5">
              <w:rPr>
                <w:sz w:val="24"/>
              </w:rPr>
              <w:t xml:space="preserve">Банк: </w:t>
            </w:r>
            <w:r w:rsidRPr="005C47C5">
              <w:rPr>
                <w:sz w:val="24"/>
              </w:rPr>
              <w:fldChar w:fldCharType="begin">
                <w:ffData>
                  <w:name w:val=""/>
                  <w:enabled/>
                  <w:calcOnExit w:val="0"/>
                  <w:textInput>
                    <w:default w:val="ООО КБЭР «Банк Казани» г.Казань "/>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 xml:space="preserve">ООО КБЭР «Банк Казани» г.Казань </w:t>
            </w:r>
            <w:r w:rsidRPr="005C47C5">
              <w:rPr>
                <w:sz w:val="24"/>
              </w:rPr>
              <w:fldChar w:fldCharType="end"/>
            </w:r>
          </w:p>
          <w:p w:rsidR="00986949" w:rsidRPr="005C47C5" w:rsidRDefault="00986949" w:rsidP="00634272">
            <w:pPr>
              <w:rPr>
                <w:sz w:val="24"/>
              </w:rPr>
            </w:pPr>
            <w:r w:rsidRPr="005C47C5">
              <w:rPr>
                <w:sz w:val="24"/>
              </w:rPr>
              <w:t xml:space="preserve">Корр./с: </w:t>
            </w:r>
            <w:r w:rsidRPr="005C47C5">
              <w:rPr>
                <w:sz w:val="24"/>
              </w:rPr>
              <w:fldChar w:fldCharType="begin">
                <w:ffData>
                  <w:name w:val=""/>
                  <w:enabled/>
                  <w:calcOnExit w:val="0"/>
                  <w:textInput>
                    <w:default w:val="30101810100000000844"/>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30101810100000000844</w:t>
            </w:r>
            <w:r w:rsidRPr="005C47C5">
              <w:rPr>
                <w:sz w:val="24"/>
              </w:rPr>
              <w:fldChar w:fldCharType="end"/>
            </w:r>
          </w:p>
          <w:p w:rsidR="00986949" w:rsidRPr="005C47C5" w:rsidRDefault="00986949" w:rsidP="00634272">
            <w:pPr>
              <w:rPr>
                <w:sz w:val="24"/>
              </w:rPr>
            </w:pPr>
            <w:r w:rsidRPr="005C47C5">
              <w:rPr>
                <w:sz w:val="24"/>
              </w:rPr>
              <w:t xml:space="preserve">БИК: </w:t>
            </w:r>
            <w:r w:rsidRPr="005C47C5">
              <w:rPr>
                <w:sz w:val="24"/>
              </w:rPr>
              <w:fldChar w:fldCharType="begin">
                <w:ffData>
                  <w:name w:val=""/>
                  <w:enabled/>
                  <w:calcOnExit w:val="0"/>
                  <w:textInput>
                    <w:default w:val="049205844"/>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049205844</w:t>
            </w:r>
            <w:r w:rsidRPr="005C47C5">
              <w:rPr>
                <w:sz w:val="24"/>
              </w:rPr>
              <w:fldChar w:fldCharType="end"/>
            </w:r>
          </w:p>
        </w:tc>
      </w:tr>
      <w:tr w:rsidR="00986949" w:rsidRPr="005C47C5" w:rsidTr="00634272">
        <w:trPr>
          <w:trHeight w:val="1059"/>
        </w:trPr>
        <w:tc>
          <w:tcPr>
            <w:tcW w:w="4828" w:type="dxa"/>
          </w:tcPr>
          <w:p w:rsidR="00986949" w:rsidRPr="005C47C5" w:rsidRDefault="00986949" w:rsidP="00634272">
            <w:pPr>
              <w:rPr>
                <w:b/>
                <w:bCs/>
                <w:sz w:val="24"/>
              </w:rPr>
            </w:pPr>
          </w:p>
          <w:p w:rsidR="00986949" w:rsidRPr="005C47C5" w:rsidRDefault="00986949" w:rsidP="00634272">
            <w:pPr>
              <w:rPr>
                <w:b/>
                <w:bCs/>
                <w:sz w:val="24"/>
              </w:rPr>
            </w:pPr>
          </w:p>
          <w:p w:rsidR="00986949" w:rsidRPr="005C47C5" w:rsidRDefault="00986949" w:rsidP="00634272">
            <w:pPr>
              <w:rPr>
                <w:b/>
                <w:sz w:val="24"/>
              </w:rPr>
            </w:pPr>
            <w:r w:rsidRPr="005C47C5">
              <w:rPr>
                <w:b/>
                <w:bCs/>
                <w:sz w:val="24"/>
              </w:rPr>
              <w:t>Подпись:</w:t>
            </w:r>
            <w:r w:rsidRPr="005C47C5">
              <w:rPr>
                <w:b/>
                <w:sz w:val="24"/>
              </w:rPr>
              <w:t xml:space="preserve"> </w:t>
            </w:r>
          </w:p>
          <w:p w:rsidR="00986949" w:rsidRPr="005C47C5" w:rsidRDefault="00986949" w:rsidP="00634272">
            <w:pPr>
              <w:rPr>
                <w:sz w:val="24"/>
              </w:rPr>
            </w:pPr>
          </w:p>
          <w:p w:rsidR="00986949" w:rsidRPr="005C47C5" w:rsidRDefault="00AC3B15" w:rsidP="00634272">
            <w:pPr>
              <w:jc w:val="right"/>
              <w:rPr>
                <w:sz w:val="24"/>
              </w:rPr>
            </w:pPr>
            <w:r w:rsidRPr="005C47C5">
              <w:rPr>
                <w:sz w:val="24"/>
              </w:rPr>
              <w:t>__________________</w:t>
            </w:r>
            <w:r w:rsidR="00986949" w:rsidRPr="005C47C5">
              <w:rPr>
                <w:sz w:val="24"/>
              </w:rPr>
              <w:t>__ /</w:t>
            </w:r>
            <w:r w:rsidR="00C13938">
              <w:rPr>
                <w:color w:val="000000"/>
                <w:sz w:val="22"/>
                <w:szCs w:val="22"/>
              </w:rPr>
              <w:t xml:space="preserve"> </w:t>
            </w:r>
            <w:proofErr w:type="spellStart"/>
            <w:r w:rsidR="00C13938">
              <w:rPr>
                <w:color w:val="000000"/>
                <w:sz w:val="22"/>
                <w:szCs w:val="22"/>
              </w:rPr>
              <w:t>Лобынцева</w:t>
            </w:r>
            <w:proofErr w:type="spellEnd"/>
            <w:r w:rsidR="00C13938">
              <w:rPr>
                <w:color w:val="000000"/>
                <w:sz w:val="22"/>
                <w:szCs w:val="22"/>
              </w:rPr>
              <w:t xml:space="preserve"> Т.Е</w:t>
            </w:r>
            <w:r w:rsidR="00C13938" w:rsidRPr="005C47C5">
              <w:rPr>
                <w:sz w:val="24"/>
              </w:rPr>
              <w:t xml:space="preserve"> </w:t>
            </w:r>
            <w:r w:rsidR="00986949" w:rsidRPr="005C47C5">
              <w:rPr>
                <w:sz w:val="24"/>
              </w:rPr>
              <w:t xml:space="preserve">/ </w:t>
            </w:r>
          </w:p>
          <w:p w:rsidR="00986949" w:rsidRPr="005C47C5" w:rsidRDefault="00986949" w:rsidP="00634272">
            <w:pPr>
              <w:jc w:val="center"/>
              <w:rPr>
                <w:sz w:val="24"/>
              </w:rPr>
            </w:pPr>
            <w:r w:rsidRPr="005C47C5">
              <w:rPr>
                <w:sz w:val="24"/>
              </w:rPr>
              <w:t>М.П.</w:t>
            </w:r>
          </w:p>
          <w:p w:rsidR="00986949" w:rsidRPr="005C47C5" w:rsidRDefault="00986949" w:rsidP="00634272">
            <w:pPr>
              <w:jc w:val="center"/>
              <w:rPr>
                <w:sz w:val="24"/>
              </w:rPr>
            </w:pPr>
          </w:p>
        </w:tc>
        <w:tc>
          <w:tcPr>
            <w:tcW w:w="4742" w:type="dxa"/>
          </w:tcPr>
          <w:p w:rsidR="00986949" w:rsidRPr="005C47C5" w:rsidRDefault="00986949" w:rsidP="00634272">
            <w:pPr>
              <w:rPr>
                <w:b/>
                <w:bCs/>
                <w:sz w:val="24"/>
              </w:rPr>
            </w:pPr>
          </w:p>
          <w:p w:rsidR="00986949" w:rsidRPr="005C47C5" w:rsidRDefault="00986949" w:rsidP="00634272">
            <w:pPr>
              <w:rPr>
                <w:b/>
                <w:bCs/>
                <w:sz w:val="24"/>
              </w:rPr>
            </w:pPr>
          </w:p>
          <w:p w:rsidR="00986949" w:rsidRPr="005C47C5" w:rsidRDefault="00986949" w:rsidP="00634272">
            <w:pPr>
              <w:rPr>
                <w:b/>
                <w:sz w:val="24"/>
              </w:rPr>
            </w:pPr>
            <w:r w:rsidRPr="005C47C5">
              <w:rPr>
                <w:b/>
                <w:bCs/>
                <w:sz w:val="24"/>
              </w:rPr>
              <w:t>Подпись:</w:t>
            </w:r>
            <w:r w:rsidRPr="005C47C5">
              <w:rPr>
                <w:b/>
                <w:sz w:val="24"/>
              </w:rPr>
              <w:t xml:space="preserve"> </w:t>
            </w:r>
          </w:p>
          <w:p w:rsidR="00986949" w:rsidRPr="005C47C5" w:rsidRDefault="00986949" w:rsidP="00634272">
            <w:pPr>
              <w:rPr>
                <w:sz w:val="24"/>
              </w:rPr>
            </w:pPr>
          </w:p>
          <w:p w:rsidR="00986949" w:rsidRPr="005C47C5" w:rsidRDefault="00986949" w:rsidP="00634272">
            <w:pPr>
              <w:jc w:val="right"/>
              <w:rPr>
                <w:sz w:val="24"/>
              </w:rPr>
            </w:pPr>
            <w:r w:rsidRPr="005C47C5">
              <w:rPr>
                <w:sz w:val="24"/>
              </w:rPr>
              <w:t>____________________/</w:t>
            </w:r>
            <w:r w:rsidRPr="005C47C5">
              <w:rPr>
                <w:sz w:val="24"/>
              </w:rPr>
              <w:fldChar w:fldCharType="begin">
                <w:ffData>
                  <w:name w:val=""/>
                  <w:enabled/>
                  <w:calcOnExit w:val="0"/>
                  <w:textInput>
                    <w:default w:val="Сабитов Т.Т."/>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Сабитов Т.Т.</w:t>
            </w:r>
            <w:r w:rsidRPr="005C47C5">
              <w:rPr>
                <w:sz w:val="24"/>
              </w:rPr>
              <w:fldChar w:fldCharType="end"/>
            </w:r>
            <w:r w:rsidRPr="005C47C5">
              <w:rPr>
                <w:sz w:val="24"/>
              </w:rPr>
              <w:t>/</w:t>
            </w:r>
          </w:p>
          <w:p w:rsidR="00986949" w:rsidRPr="005C47C5" w:rsidRDefault="00986949" w:rsidP="00634272">
            <w:pPr>
              <w:jc w:val="center"/>
              <w:rPr>
                <w:sz w:val="24"/>
              </w:rPr>
            </w:pPr>
            <w:r w:rsidRPr="005C47C5">
              <w:rPr>
                <w:sz w:val="24"/>
              </w:rPr>
              <w:t>М.П.</w:t>
            </w:r>
          </w:p>
          <w:p w:rsidR="00986949" w:rsidRPr="005C47C5" w:rsidRDefault="00986949" w:rsidP="00634272">
            <w:pPr>
              <w:jc w:val="center"/>
              <w:rPr>
                <w:sz w:val="24"/>
              </w:rPr>
            </w:pPr>
          </w:p>
        </w:tc>
      </w:tr>
    </w:tbl>
    <w:p w:rsidR="00986949" w:rsidRPr="005C47C5" w:rsidRDefault="00986949" w:rsidP="00986949">
      <w:pPr>
        <w:pageBreakBefore/>
        <w:jc w:val="right"/>
        <w:rPr>
          <w:b/>
          <w:bCs/>
          <w:sz w:val="24"/>
        </w:rPr>
      </w:pPr>
      <w:r w:rsidRPr="005C47C5">
        <w:rPr>
          <w:b/>
          <w:bCs/>
          <w:sz w:val="24"/>
        </w:rPr>
        <w:lastRenderedPageBreak/>
        <w:t xml:space="preserve">Приложение № </w:t>
      </w:r>
      <w:r w:rsidRPr="005C47C5">
        <w:rPr>
          <w:b/>
          <w:sz w:val="24"/>
        </w:rPr>
        <w:t>1</w:t>
      </w:r>
      <w:r w:rsidRPr="005C47C5">
        <w:rPr>
          <w:b/>
          <w:bCs/>
          <w:sz w:val="24"/>
        </w:rPr>
        <w:t xml:space="preserve">  </w:t>
      </w:r>
    </w:p>
    <w:p w:rsidR="00986949" w:rsidRPr="005C47C5" w:rsidRDefault="00986949" w:rsidP="00986949">
      <w:pPr>
        <w:jc w:val="right"/>
        <w:rPr>
          <w:b/>
          <w:bCs/>
          <w:sz w:val="24"/>
        </w:rPr>
      </w:pPr>
      <w:r w:rsidRPr="005C47C5">
        <w:rPr>
          <w:b/>
          <w:bCs/>
          <w:sz w:val="24"/>
        </w:rPr>
        <w:t xml:space="preserve">к </w:t>
      </w:r>
      <w:proofErr w:type="spellStart"/>
      <w:r w:rsidRPr="005C47C5">
        <w:rPr>
          <w:b/>
          <w:bCs/>
          <w:sz w:val="24"/>
        </w:rPr>
        <w:t>Сублицензионному</w:t>
      </w:r>
      <w:proofErr w:type="spellEnd"/>
      <w:r w:rsidRPr="005C47C5">
        <w:rPr>
          <w:b/>
          <w:bCs/>
          <w:sz w:val="24"/>
        </w:rPr>
        <w:t xml:space="preserve"> договору № </w:t>
      </w:r>
      <w:r w:rsidRPr="005C47C5">
        <w:rPr>
          <w:b/>
          <w:sz w:val="24"/>
        </w:rPr>
        <w:fldChar w:fldCharType="begin">
          <w:ffData>
            <w:name w:val=""/>
            <w:enabled/>
            <w:calcOnExit w:val="0"/>
            <w:textInput/>
          </w:ffData>
        </w:fldChar>
      </w:r>
      <w:r w:rsidRPr="005C47C5">
        <w:rPr>
          <w:b/>
          <w:sz w:val="24"/>
        </w:rPr>
        <w:instrText xml:space="preserve"> FORMTEXT </w:instrText>
      </w:r>
      <w:r w:rsidRPr="005C47C5">
        <w:rPr>
          <w:b/>
          <w:sz w:val="24"/>
        </w:rPr>
      </w:r>
      <w:r w:rsidRPr="005C47C5">
        <w:rPr>
          <w:b/>
          <w:sz w:val="24"/>
        </w:rPr>
        <w:fldChar w:fldCharType="separate"/>
      </w:r>
      <w:r w:rsidRPr="005C47C5">
        <w:rPr>
          <w:rFonts w:eastAsia="MS Mincho"/>
          <w:b/>
          <w:sz w:val="24"/>
        </w:rPr>
        <w:t> </w:t>
      </w:r>
      <w:r w:rsidRPr="005C47C5">
        <w:rPr>
          <w:rFonts w:eastAsia="MS Mincho"/>
          <w:b/>
          <w:sz w:val="24"/>
        </w:rPr>
        <w:t> </w:t>
      </w:r>
      <w:r w:rsidRPr="005C47C5">
        <w:rPr>
          <w:rFonts w:eastAsia="MS Mincho"/>
          <w:b/>
          <w:sz w:val="24"/>
        </w:rPr>
        <w:t> </w:t>
      </w:r>
      <w:r w:rsidRPr="005C47C5">
        <w:rPr>
          <w:rFonts w:eastAsia="MS Mincho"/>
          <w:b/>
          <w:sz w:val="24"/>
        </w:rPr>
        <w:t> </w:t>
      </w:r>
      <w:r w:rsidRPr="005C47C5">
        <w:rPr>
          <w:rFonts w:eastAsia="MS Mincho"/>
          <w:b/>
          <w:sz w:val="24"/>
        </w:rPr>
        <w:t> </w:t>
      </w:r>
      <w:r w:rsidRPr="005C47C5">
        <w:rPr>
          <w:b/>
          <w:sz w:val="24"/>
        </w:rPr>
        <w:fldChar w:fldCharType="end"/>
      </w:r>
      <w:r w:rsidRPr="005C47C5">
        <w:rPr>
          <w:b/>
          <w:sz w:val="24"/>
        </w:rPr>
        <w:t xml:space="preserve"> </w:t>
      </w:r>
      <w:r w:rsidRPr="005C47C5">
        <w:rPr>
          <w:b/>
          <w:bCs/>
          <w:sz w:val="24"/>
        </w:rPr>
        <w:t>от</w:t>
      </w:r>
    </w:p>
    <w:p w:rsidR="00986949" w:rsidRPr="005C47C5" w:rsidRDefault="00986949" w:rsidP="00986949">
      <w:pPr>
        <w:jc w:val="right"/>
        <w:rPr>
          <w:b/>
          <w:bCs/>
          <w:sz w:val="24"/>
        </w:rPr>
      </w:pPr>
      <w:r w:rsidRPr="005C47C5">
        <w:rPr>
          <w:b/>
          <w:bCs/>
          <w:sz w:val="24"/>
        </w:rPr>
        <w:t>(далее – Спецификация)</w:t>
      </w:r>
    </w:p>
    <w:p w:rsidR="00986949" w:rsidRPr="005C47C5" w:rsidRDefault="00986949" w:rsidP="00986949">
      <w:pPr>
        <w:rPr>
          <w:bCs/>
          <w:sz w:val="24"/>
        </w:rPr>
      </w:pPr>
    </w:p>
    <w:p w:rsidR="00986949" w:rsidRPr="005C47C5" w:rsidRDefault="00986949" w:rsidP="00986949">
      <w:pPr>
        <w:jc w:val="center"/>
        <w:rPr>
          <w:b/>
          <w:bCs/>
          <w:sz w:val="24"/>
        </w:rPr>
      </w:pPr>
      <w:r w:rsidRPr="005C47C5">
        <w:rPr>
          <w:b/>
          <w:bCs/>
          <w:sz w:val="24"/>
        </w:rPr>
        <w:t>Спецификация</w:t>
      </w:r>
    </w:p>
    <w:p w:rsidR="00986949" w:rsidRPr="005C47C5" w:rsidRDefault="00986949" w:rsidP="00986949">
      <w:pPr>
        <w:rPr>
          <w:sz w:val="24"/>
        </w:rPr>
      </w:pPr>
    </w:p>
    <w:p w:rsidR="00986949" w:rsidRPr="005C47C5" w:rsidRDefault="00986949" w:rsidP="00986949">
      <w:pPr>
        <w:tabs>
          <w:tab w:val="right" w:pos="9350"/>
        </w:tabs>
        <w:rPr>
          <w:bCs/>
          <w:sz w:val="24"/>
        </w:rPr>
      </w:pPr>
      <w:r w:rsidRPr="005C47C5">
        <w:rPr>
          <w:sz w:val="24"/>
        </w:rPr>
        <w:t>г. Казань</w:t>
      </w:r>
      <w:r w:rsidRPr="005C47C5">
        <w:rPr>
          <w:sz w:val="24"/>
        </w:rPr>
        <w:tab/>
      </w:r>
    </w:p>
    <w:p w:rsidR="00986949" w:rsidRPr="005C47C5" w:rsidRDefault="00986949" w:rsidP="00986949">
      <w:pPr>
        <w:rPr>
          <w:sz w:val="24"/>
        </w:rPr>
      </w:pPr>
    </w:p>
    <w:p w:rsidR="00986949" w:rsidRPr="005C47C5" w:rsidRDefault="00986949" w:rsidP="00986949">
      <w:pPr>
        <w:widowControl/>
        <w:numPr>
          <w:ilvl w:val="0"/>
          <w:numId w:val="4"/>
        </w:numPr>
        <w:tabs>
          <w:tab w:val="left" w:pos="426"/>
        </w:tabs>
        <w:ind w:left="0" w:firstLine="0"/>
        <w:rPr>
          <w:sz w:val="24"/>
        </w:rPr>
      </w:pPr>
      <w:r w:rsidRPr="005C47C5">
        <w:rPr>
          <w:sz w:val="24"/>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5C47C5">
        <w:rPr>
          <w:i/>
          <w:sz w:val="24"/>
        </w:rPr>
        <w:t>НДС не облагается на основании пп.26 п.2 ст.149 НК РФ</w:t>
      </w:r>
      <w:r w:rsidRPr="005C47C5">
        <w:rPr>
          <w:sz w:val="24"/>
        </w:rPr>
        <w:t>):</w:t>
      </w:r>
    </w:p>
    <w:tbl>
      <w:tblPr>
        <w:tblW w:w="9463" w:type="dxa"/>
        <w:tblInd w:w="122" w:type="dxa"/>
        <w:tblLayout w:type="fixed"/>
        <w:tblLook w:val="0000" w:firstRow="0" w:lastRow="0" w:firstColumn="0" w:lastColumn="0" w:noHBand="0" w:noVBand="0"/>
      </w:tblPr>
      <w:tblGrid>
        <w:gridCol w:w="432"/>
        <w:gridCol w:w="1528"/>
        <w:gridCol w:w="3413"/>
        <w:gridCol w:w="1417"/>
        <w:gridCol w:w="1357"/>
        <w:gridCol w:w="1316"/>
      </w:tblGrid>
      <w:tr w:rsidR="00986949" w:rsidRPr="005C47C5" w:rsidTr="00634272">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986949" w:rsidRPr="005C47C5" w:rsidRDefault="00986949" w:rsidP="00634272">
            <w:pPr>
              <w:tabs>
                <w:tab w:val="left" w:pos="426"/>
              </w:tabs>
              <w:rPr>
                <w:bCs/>
                <w:sz w:val="24"/>
              </w:rPr>
            </w:pPr>
            <w:r w:rsidRPr="005C47C5">
              <w:rPr>
                <w:bCs/>
                <w:sz w:val="24"/>
              </w:rPr>
              <w:t>№</w:t>
            </w:r>
          </w:p>
        </w:tc>
        <w:tc>
          <w:tcPr>
            <w:tcW w:w="1528" w:type="dxa"/>
            <w:tcBorders>
              <w:top w:val="single" w:sz="4" w:space="0" w:color="auto"/>
              <w:left w:val="nil"/>
              <w:bottom w:val="single" w:sz="4" w:space="0" w:color="auto"/>
              <w:right w:val="single" w:sz="4" w:space="0" w:color="auto"/>
            </w:tcBorders>
            <w:shd w:val="clear" w:color="auto" w:fill="E0E0E0"/>
            <w:vAlign w:val="center"/>
          </w:tcPr>
          <w:p w:rsidR="00986949" w:rsidRPr="005C47C5" w:rsidRDefault="00986949" w:rsidP="00634272">
            <w:pPr>
              <w:tabs>
                <w:tab w:val="left" w:pos="426"/>
              </w:tabs>
              <w:rPr>
                <w:bCs/>
                <w:sz w:val="24"/>
              </w:rPr>
            </w:pPr>
            <w:r w:rsidRPr="005C47C5">
              <w:rPr>
                <w:bCs/>
                <w:sz w:val="24"/>
              </w:rPr>
              <w:t>Правообладатель</w:t>
            </w:r>
          </w:p>
        </w:tc>
        <w:tc>
          <w:tcPr>
            <w:tcW w:w="3413" w:type="dxa"/>
            <w:tcBorders>
              <w:top w:val="single" w:sz="4" w:space="0" w:color="auto"/>
              <w:left w:val="single" w:sz="4" w:space="0" w:color="auto"/>
              <w:bottom w:val="single" w:sz="4" w:space="0" w:color="auto"/>
              <w:right w:val="single" w:sz="4" w:space="0" w:color="auto"/>
            </w:tcBorders>
            <w:shd w:val="clear" w:color="auto" w:fill="E0E0E0"/>
            <w:vAlign w:val="center"/>
          </w:tcPr>
          <w:p w:rsidR="00986949" w:rsidRPr="005C47C5" w:rsidRDefault="00986949" w:rsidP="00634272">
            <w:pPr>
              <w:tabs>
                <w:tab w:val="left" w:pos="426"/>
              </w:tabs>
              <w:rPr>
                <w:bCs/>
                <w:sz w:val="24"/>
              </w:rPr>
            </w:pPr>
            <w:r w:rsidRPr="005C47C5">
              <w:rPr>
                <w:bCs/>
                <w:sz w:val="24"/>
              </w:rPr>
              <w:t>Наименование программы для ЭВМ, право использования которой предоставляется Сублицензиату</w:t>
            </w:r>
          </w:p>
        </w:tc>
        <w:tc>
          <w:tcPr>
            <w:tcW w:w="1417" w:type="dxa"/>
            <w:tcBorders>
              <w:top w:val="single" w:sz="4" w:space="0" w:color="auto"/>
              <w:left w:val="nil"/>
              <w:bottom w:val="single" w:sz="4" w:space="0" w:color="auto"/>
              <w:right w:val="single" w:sz="4" w:space="0" w:color="auto"/>
            </w:tcBorders>
            <w:shd w:val="clear" w:color="auto" w:fill="E0E0E0"/>
            <w:vAlign w:val="center"/>
          </w:tcPr>
          <w:p w:rsidR="00986949" w:rsidRPr="005C47C5" w:rsidRDefault="00986949" w:rsidP="00634272">
            <w:pPr>
              <w:tabs>
                <w:tab w:val="left" w:pos="426"/>
              </w:tabs>
              <w:rPr>
                <w:bCs/>
                <w:sz w:val="24"/>
              </w:rPr>
            </w:pPr>
            <w:r w:rsidRPr="005C47C5">
              <w:rPr>
                <w:bCs/>
                <w:sz w:val="24"/>
              </w:rPr>
              <w:t>Кол-во</w:t>
            </w:r>
          </w:p>
          <w:p w:rsidR="00986949" w:rsidRPr="005C47C5" w:rsidRDefault="00986949" w:rsidP="00634272">
            <w:pPr>
              <w:tabs>
                <w:tab w:val="left" w:pos="426"/>
              </w:tabs>
              <w:rPr>
                <w:bCs/>
                <w:sz w:val="24"/>
              </w:rPr>
            </w:pPr>
            <w:r w:rsidRPr="005C47C5">
              <w:rPr>
                <w:bCs/>
                <w:sz w:val="24"/>
              </w:rPr>
              <w:t>лицензий</w:t>
            </w:r>
            <w:r w:rsidRPr="005C47C5">
              <w:rPr>
                <w:b/>
                <w:bCs/>
                <w:sz w:val="24"/>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986949" w:rsidRPr="005C47C5" w:rsidRDefault="00986949" w:rsidP="00634272">
            <w:pPr>
              <w:tabs>
                <w:tab w:val="left" w:pos="426"/>
              </w:tabs>
              <w:rPr>
                <w:bCs/>
                <w:sz w:val="24"/>
              </w:rPr>
            </w:pPr>
            <w:r w:rsidRPr="005C47C5">
              <w:rPr>
                <w:bCs/>
                <w:sz w:val="24"/>
              </w:rPr>
              <w:t xml:space="preserve">Цена, </w:t>
            </w:r>
          </w:p>
          <w:p w:rsidR="00986949" w:rsidRPr="005C47C5" w:rsidRDefault="00986949" w:rsidP="00634272">
            <w:pPr>
              <w:tabs>
                <w:tab w:val="left" w:pos="426"/>
              </w:tabs>
              <w:rPr>
                <w:bCs/>
                <w:sz w:val="24"/>
              </w:rPr>
            </w:pPr>
            <w:r w:rsidRPr="005C47C5">
              <w:rPr>
                <w:sz w:val="24"/>
              </w:rPr>
              <w:t>рублей</w:t>
            </w:r>
          </w:p>
        </w:tc>
        <w:tc>
          <w:tcPr>
            <w:tcW w:w="1316" w:type="dxa"/>
            <w:tcBorders>
              <w:top w:val="single" w:sz="4" w:space="0" w:color="auto"/>
              <w:left w:val="nil"/>
              <w:bottom w:val="single" w:sz="4" w:space="0" w:color="auto"/>
              <w:right w:val="single" w:sz="4" w:space="0" w:color="auto"/>
            </w:tcBorders>
            <w:shd w:val="clear" w:color="auto" w:fill="E0E0E0"/>
            <w:vAlign w:val="center"/>
          </w:tcPr>
          <w:p w:rsidR="00986949" w:rsidRPr="005C47C5" w:rsidRDefault="00986949" w:rsidP="00634272">
            <w:pPr>
              <w:tabs>
                <w:tab w:val="left" w:pos="426"/>
              </w:tabs>
              <w:rPr>
                <w:bCs/>
                <w:sz w:val="24"/>
              </w:rPr>
            </w:pPr>
            <w:r w:rsidRPr="005C47C5">
              <w:rPr>
                <w:bCs/>
                <w:sz w:val="24"/>
              </w:rPr>
              <w:t xml:space="preserve">Сумма, </w:t>
            </w:r>
          </w:p>
          <w:p w:rsidR="00986949" w:rsidRPr="005C47C5" w:rsidRDefault="00986949" w:rsidP="00634272">
            <w:pPr>
              <w:tabs>
                <w:tab w:val="left" w:pos="426"/>
              </w:tabs>
              <w:rPr>
                <w:bCs/>
                <w:sz w:val="24"/>
              </w:rPr>
            </w:pPr>
            <w:r w:rsidRPr="005C47C5">
              <w:rPr>
                <w:sz w:val="24"/>
              </w:rPr>
              <w:t>рублей</w:t>
            </w:r>
          </w:p>
        </w:tc>
      </w:tr>
      <w:tr w:rsidR="00386F5A" w:rsidRPr="005C47C5" w:rsidTr="00143694">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386F5A" w:rsidRPr="005C47C5" w:rsidRDefault="00386F5A" w:rsidP="00386F5A">
            <w:pPr>
              <w:widowControl/>
              <w:numPr>
                <w:ilvl w:val="0"/>
                <w:numId w:val="3"/>
              </w:numPr>
              <w:tabs>
                <w:tab w:val="clear" w:pos="720"/>
                <w:tab w:val="left" w:pos="426"/>
              </w:tabs>
              <w:ind w:left="0" w:firstLine="0"/>
              <w:rPr>
                <w:sz w:val="24"/>
              </w:rPr>
            </w:pPr>
          </w:p>
        </w:tc>
        <w:tc>
          <w:tcPr>
            <w:tcW w:w="1528" w:type="dxa"/>
            <w:tcBorders>
              <w:top w:val="single" w:sz="4" w:space="0" w:color="auto"/>
              <w:left w:val="nil"/>
              <w:bottom w:val="single" w:sz="4" w:space="0" w:color="auto"/>
              <w:right w:val="single" w:sz="4" w:space="0" w:color="auto"/>
            </w:tcBorders>
            <w:vAlign w:val="center"/>
          </w:tcPr>
          <w:p w:rsidR="00386F5A" w:rsidRPr="005C47C5" w:rsidRDefault="00386F5A" w:rsidP="00386F5A">
            <w:pPr>
              <w:ind w:firstLine="9"/>
              <w:jc w:val="center"/>
              <w:rPr>
                <w:color w:val="000000" w:themeColor="text1"/>
                <w:sz w:val="24"/>
              </w:rPr>
            </w:pPr>
            <w:r w:rsidRPr="005C47C5">
              <w:rPr>
                <w:color w:val="000000" w:themeColor="text1"/>
                <w:sz w:val="24"/>
              </w:rPr>
              <w:t>ООО «Доктор Веб»</w:t>
            </w:r>
          </w:p>
          <w:p w:rsidR="00386F5A" w:rsidRPr="005C47C5" w:rsidRDefault="00386F5A" w:rsidP="00386F5A">
            <w:pPr>
              <w:tabs>
                <w:tab w:val="left" w:pos="426"/>
              </w:tabs>
              <w:rPr>
                <w:sz w:val="24"/>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386F5A" w:rsidRPr="005C47C5" w:rsidRDefault="00386F5A" w:rsidP="00386F5A">
            <w:pPr>
              <w:ind w:firstLine="9"/>
              <w:jc w:val="center"/>
              <w:rPr>
                <w:color w:val="000000" w:themeColor="text1"/>
                <w:sz w:val="24"/>
              </w:rPr>
            </w:pPr>
            <w:proofErr w:type="spellStart"/>
            <w:r w:rsidRPr="005C47C5">
              <w:rPr>
                <w:color w:val="000000" w:themeColor="text1"/>
                <w:sz w:val="24"/>
              </w:rPr>
              <w:t>Dr.Web</w:t>
            </w:r>
            <w:proofErr w:type="spellEnd"/>
            <w:r w:rsidRPr="005C47C5">
              <w:rPr>
                <w:color w:val="000000" w:themeColor="text1"/>
                <w:sz w:val="24"/>
              </w:rPr>
              <w:t xml:space="preserve"> </w:t>
            </w:r>
            <w:proofErr w:type="spellStart"/>
            <w:r w:rsidRPr="005C47C5">
              <w:rPr>
                <w:color w:val="000000" w:themeColor="text1"/>
                <w:sz w:val="24"/>
              </w:rPr>
              <w:t>Desktop</w:t>
            </w:r>
            <w:proofErr w:type="spellEnd"/>
            <w:r w:rsidRPr="005C47C5">
              <w:rPr>
                <w:color w:val="000000" w:themeColor="text1"/>
                <w:sz w:val="24"/>
              </w:rPr>
              <w:t xml:space="preserve"> </w:t>
            </w:r>
            <w:proofErr w:type="spellStart"/>
            <w:r w:rsidRPr="005C47C5">
              <w:rPr>
                <w:color w:val="000000" w:themeColor="text1"/>
                <w:sz w:val="24"/>
              </w:rPr>
              <w:t>Security</w:t>
            </w:r>
            <w:proofErr w:type="spellEnd"/>
            <w:r w:rsidRPr="005C47C5">
              <w:rPr>
                <w:color w:val="000000" w:themeColor="text1"/>
                <w:sz w:val="24"/>
              </w:rPr>
              <w:t xml:space="preserve"> </w:t>
            </w:r>
            <w:proofErr w:type="spellStart"/>
            <w:r w:rsidRPr="005C47C5">
              <w:rPr>
                <w:color w:val="000000" w:themeColor="text1"/>
                <w:sz w:val="24"/>
              </w:rPr>
              <w:t>Suite</w:t>
            </w:r>
            <w:proofErr w:type="spellEnd"/>
            <w:r w:rsidRPr="005C47C5">
              <w:rPr>
                <w:color w:val="000000" w:themeColor="text1"/>
                <w:sz w:val="24"/>
              </w:rPr>
              <w:t xml:space="preserve"> Комплексная защита + Центр управления на 12 мес., 250 ПК, миграция с </w:t>
            </w:r>
            <w:proofErr w:type="spellStart"/>
            <w:r w:rsidRPr="005C47C5">
              <w:rPr>
                <w:color w:val="000000" w:themeColor="text1"/>
                <w:sz w:val="24"/>
              </w:rPr>
              <w:t>дозакупкой</w:t>
            </w:r>
            <w:proofErr w:type="spellEnd"/>
          </w:p>
          <w:p w:rsidR="00386F5A" w:rsidRPr="005C47C5" w:rsidRDefault="00386F5A" w:rsidP="00386F5A">
            <w:pPr>
              <w:tabs>
                <w:tab w:val="left" w:pos="426"/>
              </w:tabs>
              <w:rPr>
                <w:sz w:val="24"/>
              </w:rPr>
            </w:pPr>
          </w:p>
        </w:tc>
        <w:tc>
          <w:tcPr>
            <w:tcW w:w="1417" w:type="dxa"/>
            <w:tcBorders>
              <w:top w:val="single" w:sz="4" w:space="0" w:color="auto"/>
              <w:left w:val="nil"/>
              <w:bottom w:val="single" w:sz="4" w:space="0" w:color="auto"/>
              <w:right w:val="single" w:sz="4" w:space="0" w:color="auto"/>
            </w:tcBorders>
            <w:shd w:val="clear" w:color="auto" w:fill="auto"/>
          </w:tcPr>
          <w:p w:rsidR="00386F5A" w:rsidRPr="005C47C5" w:rsidRDefault="00386F5A" w:rsidP="00386F5A">
            <w:pPr>
              <w:jc w:val="center"/>
              <w:rPr>
                <w:color w:val="000000" w:themeColor="text1"/>
                <w:sz w:val="24"/>
              </w:rPr>
            </w:pPr>
          </w:p>
          <w:p w:rsidR="00386F5A" w:rsidRPr="005C47C5" w:rsidRDefault="00386F5A" w:rsidP="00386F5A">
            <w:pPr>
              <w:jc w:val="center"/>
              <w:rPr>
                <w:color w:val="000000" w:themeColor="text1"/>
                <w:sz w:val="24"/>
              </w:rPr>
            </w:pPr>
          </w:p>
          <w:p w:rsidR="00386F5A" w:rsidRPr="005C47C5" w:rsidRDefault="00386F5A" w:rsidP="00386F5A">
            <w:pPr>
              <w:jc w:val="center"/>
              <w:rPr>
                <w:color w:val="000000" w:themeColor="text1"/>
                <w:sz w:val="24"/>
                <w:lang w:val="en-US"/>
              </w:rPr>
            </w:pPr>
            <w:r w:rsidRPr="005C47C5">
              <w:rPr>
                <w:color w:val="000000" w:themeColor="text1"/>
                <w:sz w:val="24"/>
                <w:lang w:val="en-US"/>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386F5A" w:rsidRPr="005C47C5" w:rsidRDefault="00386F5A" w:rsidP="00386F5A">
            <w:pPr>
              <w:jc w:val="center"/>
              <w:rPr>
                <w:sz w:val="24"/>
              </w:rPr>
            </w:pPr>
            <w:r w:rsidRPr="005C47C5">
              <w:rPr>
                <w:sz w:val="24"/>
              </w:rPr>
              <w:t xml:space="preserve">91 973,31 </w:t>
            </w:r>
          </w:p>
        </w:tc>
        <w:tc>
          <w:tcPr>
            <w:tcW w:w="1316" w:type="dxa"/>
            <w:tcBorders>
              <w:top w:val="single" w:sz="4" w:space="0" w:color="auto"/>
              <w:left w:val="nil"/>
              <w:bottom w:val="single" w:sz="4" w:space="0" w:color="auto"/>
              <w:right w:val="single" w:sz="4" w:space="0" w:color="auto"/>
            </w:tcBorders>
            <w:shd w:val="clear" w:color="auto" w:fill="auto"/>
            <w:vAlign w:val="center"/>
          </w:tcPr>
          <w:p w:rsidR="00386F5A" w:rsidRPr="005C47C5" w:rsidRDefault="00386F5A" w:rsidP="00386F5A">
            <w:pPr>
              <w:jc w:val="center"/>
              <w:rPr>
                <w:sz w:val="24"/>
              </w:rPr>
            </w:pPr>
            <w:r w:rsidRPr="005C47C5">
              <w:rPr>
                <w:sz w:val="24"/>
              </w:rPr>
              <w:t xml:space="preserve">91 973,31 </w:t>
            </w:r>
          </w:p>
        </w:tc>
      </w:tr>
      <w:tr w:rsidR="00386F5A" w:rsidRPr="005C47C5" w:rsidTr="00143694">
        <w:trPr>
          <w:trHeight w:val="84"/>
        </w:trPr>
        <w:tc>
          <w:tcPr>
            <w:tcW w:w="432" w:type="dxa"/>
            <w:tcBorders>
              <w:top w:val="nil"/>
              <w:left w:val="single" w:sz="4" w:space="0" w:color="auto"/>
              <w:bottom w:val="single" w:sz="4" w:space="0" w:color="auto"/>
              <w:right w:val="single" w:sz="4" w:space="0" w:color="auto"/>
            </w:tcBorders>
            <w:shd w:val="clear" w:color="auto" w:fill="auto"/>
            <w:vAlign w:val="center"/>
          </w:tcPr>
          <w:p w:rsidR="00386F5A" w:rsidRPr="005C47C5" w:rsidRDefault="00386F5A" w:rsidP="00386F5A">
            <w:pPr>
              <w:widowControl/>
              <w:numPr>
                <w:ilvl w:val="0"/>
                <w:numId w:val="3"/>
              </w:numPr>
              <w:tabs>
                <w:tab w:val="clear" w:pos="720"/>
                <w:tab w:val="left" w:pos="426"/>
              </w:tabs>
              <w:ind w:left="0" w:firstLine="0"/>
              <w:rPr>
                <w:sz w:val="24"/>
              </w:rPr>
            </w:pPr>
          </w:p>
        </w:tc>
        <w:tc>
          <w:tcPr>
            <w:tcW w:w="1528" w:type="dxa"/>
            <w:tcBorders>
              <w:top w:val="single" w:sz="4" w:space="0" w:color="auto"/>
              <w:left w:val="nil"/>
              <w:bottom w:val="single" w:sz="4" w:space="0" w:color="auto"/>
              <w:right w:val="single" w:sz="4" w:space="0" w:color="auto"/>
            </w:tcBorders>
            <w:vAlign w:val="center"/>
          </w:tcPr>
          <w:p w:rsidR="00386F5A" w:rsidRPr="005C47C5" w:rsidRDefault="00386F5A" w:rsidP="00386F5A">
            <w:pPr>
              <w:ind w:firstLine="9"/>
              <w:jc w:val="center"/>
              <w:rPr>
                <w:color w:val="000000" w:themeColor="text1"/>
                <w:sz w:val="24"/>
              </w:rPr>
            </w:pPr>
            <w:r w:rsidRPr="005C47C5">
              <w:rPr>
                <w:color w:val="000000" w:themeColor="text1"/>
                <w:sz w:val="24"/>
              </w:rPr>
              <w:t>ООО «Доктор Веб»</w:t>
            </w:r>
          </w:p>
          <w:p w:rsidR="00386F5A" w:rsidRPr="005C47C5" w:rsidRDefault="00386F5A" w:rsidP="00386F5A">
            <w:pPr>
              <w:tabs>
                <w:tab w:val="left" w:pos="426"/>
              </w:tabs>
              <w:rPr>
                <w:sz w:val="24"/>
              </w:rPr>
            </w:pPr>
          </w:p>
        </w:tc>
        <w:tc>
          <w:tcPr>
            <w:tcW w:w="3413" w:type="dxa"/>
            <w:tcBorders>
              <w:top w:val="nil"/>
              <w:left w:val="single" w:sz="4" w:space="0" w:color="auto"/>
              <w:bottom w:val="single" w:sz="4" w:space="0" w:color="auto"/>
              <w:right w:val="single" w:sz="4" w:space="0" w:color="auto"/>
            </w:tcBorders>
            <w:shd w:val="clear" w:color="auto" w:fill="auto"/>
            <w:vAlign w:val="center"/>
          </w:tcPr>
          <w:p w:rsidR="00386F5A" w:rsidRPr="005C47C5" w:rsidRDefault="00386F5A" w:rsidP="00386F5A">
            <w:pPr>
              <w:ind w:firstLine="9"/>
              <w:jc w:val="center"/>
              <w:rPr>
                <w:color w:val="000000" w:themeColor="text1"/>
                <w:sz w:val="24"/>
              </w:rPr>
            </w:pPr>
            <w:proofErr w:type="spellStart"/>
            <w:r w:rsidRPr="005C47C5">
              <w:rPr>
                <w:color w:val="000000" w:themeColor="text1"/>
                <w:sz w:val="24"/>
              </w:rPr>
              <w:t>Dr.Web</w:t>
            </w:r>
            <w:proofErr w:type="spellEnd"/>
            <w:r w:rsidRPr="005C47C5">
              <w:rPr>
                <w:color w:val="000000" w:themeColor="text1"/>
                <w:sz w:val="24"/>
              </w:rPr>
              <w:t xml:space="preserve"> </w:t>
            </w:r>
            <w:proofErr w:type="spellStart"/>
            <w:r w:rsidRPr="005C47C5">
              <w:rPr>
                <w:color w:val="000000" w:themeColor="text1"/>
                <w:sz w:val="24"/>
              </w:rPr>
              <w:t>Server</w:t>
            </w:r>
            <w:proofErr w:type="spellEnd"/>
            <w:r w:rsidRPr="005C47C5">
              <w:rPr>
                <w:color w:val="000000" w:themeColor="text1"/>
                <w:sz w:val="24"/>
              </w:rPr>
              <w:t xml:space="preserve"> </w:t>
            </w:r>
            <w:proofErr w:type="spellStart"/>
            <w:r w:rsidRPr="005C47C5">
              <w:rPr>
                <w:color w:val="000000" w:themeColor="text1"/>
                <w:sz w:val="24"/>
              </w:rPr>
              <w:t>Security</w:t>
            </w:r>
            <w:proofErr w:type="spellEnd"/>
            <w:r w:rsidRPr="005C47C5">
              <w:rPr>
                <w:color w:val="000000" w:themeColor="text1"/>
                <w:sz w:val="24"/>
              </w:rPr>
              <w:t xml:space="preserve"> </w:t>
            </w:r>
            <w:proofErr w:type="spellStart"/>
            <w:r w:rsidRPr="005C47C5">
              <w:rPr>
                <w:color w:val="000000" w:themeColor="text1"/>
                <w:sz w:val="24"/>
              </w:rPr>
              <w:t>Suite</w:t>
            </w:r>
            <w:proofErr w:type="spellEnd"/>
            <w:r w:rsidRPr="005C47C5">
              <w:rPr>
                <w:color w:val="000000" w:themeColor="text1"/>
                <w:sz w:val="24"/>
              </w:rPr>
              <w:t xml:space="preserve"> Антивирус + Центр управления на 12 мес., 2 </w:t>
            </w:r>
            <w:proofErr w:type="spellStart"/>
            <w:r w:rsidRPr="005C47C5">
              <w:rPr>
                <w:color w:val="000000" w:themeColor="text1"/>
                <w:sz w:val="24"/>
              </w:rPr>
              <w:t>серв</w:t>
            </w:r>
            <w:proofErr w:type="spellEnd"/>
            <w:r w:rsidRPr="005C47C5">
              <w:rPr>
                <w:color w:val="000000" w:themeColor="text1"/>
                <w:sz w:val="24"/>
              </w:rPr>
              <w:t xml:space="preserve">., миграция с </w:t>
            </w:r>
            <w:proofErr w:type="spellStart"/>
            <w:r w:rsidRPr="005C47C5">
              <w:rPr>
                <w:color w:val="000000" w:themeColor="text1"/>
                <w:sz w:val="24"/>
              </w:rPr>
              <w:t>дозакупкой</w:t>
            </w:r>
            <w:proofErr w:type="spellEnd"/>
          </w:p>
          <w:p w:rsidR="00386F5A" w:rsidRPr="005C47C5" w:rsidRDefault="00386F5A" w:rsidP="00386F5A">
            <w:pPr>
              <w:tabs>
                <w:tab w:val="left" w:pos="426"/>
              </w:tabs>
              <w:rPr>
                <w:sz w:val="24"/>
              </w:rPr>
            </w:pPr>
          </w:p>
        </w:tc>
        <w:tc>
          <w:tcPr>
            <w:tcW w:w="1417" w:type="dxa"/>
            <w:tcBorders>
              <w:top w:val="nil"/>
              <w:left w:val="nil"/>
              <w:bottom w:val="single" w:sz="4" w:space="0" w:color="auto"/>
              <w:right w:val="single" w:sz="4" w:space="0" w:color="auto"/>
            </w:tcBorders>
            <w:shd w:val="clear" w:color="auto" w:fill="auto"/>
          </w:tcPr>
          <w:p w:rsidR="00386F5A" w:rsidRPr="005C47C5" w:rsidRDefault="00386F5A" w:rsidP="00386F5A">
            <w:pPr>
              <w:jc w:val="center"/>
              <w:rPr>
                <w:color w:val="000000" w:themeColor="text1"/>
                <w:sz w:val="24"/>
              </w:rPr>
            </w:pPr>
          </w:p>
          <w:p w:rsidR="00386F5A" w:rsidRPr="005C47C5" w:rsidRDefault="00386F5A" w:rsidP="00386F5A">
            <w:pPr>
              <w:jc w:val="center"/>
              <w:rPr>
                <w:color w:val="000000" w:themeColor="text1"/>
                <w:sz w:val="24"/>
              </w:rPr>
            </w:pPr>
          </w:p>
          <w:p w:rsidR="00386F5A" w:rsidRPr="005C47C5" w:rsidRDefault="00386F5A" w:rsidP="00386F5A">
            <w:pPr>
              <w:jc w:val="center"/>
              <w:rPr>
                <w:color w:val="000000" w:themeColor="text1"/>
                <w:sz w:val="24"/>
              </w:rPr>
            </w:pPr>
            <w:r w:rsidRPr="005C47C5">
              <w:rPr>
                <w:color w:val="000000" w:themeColor="text1"/>
                <w:sz w:val="24"/>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386F5A" w:rsidRPr="005C47C5" w:rsidRDefault="00386F5A" w:rsidP="00386F5A">
            <w:pPr>
              <w:jc w:val="center"/>
              <w:rPr>
                <w:sz w:val="24"/>
              </w:rPr>
            </w:pPr>
            <w:r w:rsidRPr="005C47C5">
              <w:rPr>
                <w:sz w:val="24"/>
              </w:rPr>
              <w:t xml:space="preserve">3 380,00 </w:t>
            </w:r>
          </w:p>
        </w:tc>
        <w:tc>
          <w:tcPr>
            <w:tcW w:w="1316" w:type="dxa"/>
            <w:tcBorders>
              <w:top w:val="nil"/>
              <w:left w:val="nil"/>
              <w:bottom w:val="single" w:sz="4" w:space="0" w:color="auto"/>
              <w:right w:val="single" w:sz="4" w:space="0" w:color="auto"/>
            </w:tcBorders>
            <w:shd w:val="clear" w:color="auto" w:fill="auto"/>
            <w:vAlign w:val="center"/>
          </w:tcPr>
          <w:p w:rsidR="00386F5A" w:rsidRPr="005C47C5" w:rsidRDefault="00386F5A" w:rsidP="00386F5A">
            <w:pPr>
              <w:jc w:val="center"/>
              <w:rPr>
                <w:sz w:val="24"/>
              </w:rPr>
            </w:pPr>
            <w:r w:rsidRPr="005C47C5">
              <w:rPr>
                <w:sz w:val="24"/>
              </w:rPr>
              <w:t xml:space="preserve">3 380,00 </w:t>
            </w:r>
          </w:p>
        </w:tc>
      </w:tr>
      <w:tr w:rsidR="00386F5A" w:rsidRPr="005C47C5" w:rsidTr="00634272">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386F5A" w:rsidRPr="005C47C5" w:rsidRDefault="00386F5A" w:rsidP="00386F5A">
            <w:pPr>
              <w:tabs>
                <w:tab w:val="left" w:pos="426"/>
              </w:tabs>
              <w:rPr>
                <w:sz w:val="24"/>
              </w:rPr>
            </w:pPr>
            <w:r w:rsidRPr="005C47C5">
              <w:rPr>
                <w:b/>
                <w:sz w:val="24"/>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386F5A" w:rsidRPr="005C47C5" w:rsidRDefault="00386F5A" w:rsidP="00386F5A">
            <w:pPr>
              <w:tabs>
                <w:tab w:val="left" w:pos="426"/>
              </w:tabs>
              <w:rPr>
                <w:sz w:val="24"/>
              </w:rPr>
            </w:pPr>
            <w:r w:rsidRPr="005C47C5">
              <w:rPr>
                <w:sz w:val="24"/>
              </w:rPr>
              <w:t xml:space="preserve">95 353,31 </w:t>
            </w:r>
          </w:p>
        </w:tc>
      </w:tr>
    </w:tbl>
    <w:p w:rsidR="00986949" w:rsidRPr="005C47C5" w:rsidRDefault="00986949" w:rsidP="00986949">
      <w:pPr>
        <w:tabs>
          <w:tab w:val="left" w:pos="426"/>
        </w:tabs>
        <w:rPr>
          <w:sz w:val="24"/>
        </w:rPr>
      </w:pPr>
      <w:r w:rsidRPr="005C47C5">
        <w:rPr>
          <w:b/>
          <w:sz w:val="24"/>
        </w:rPr>
        <w:t>*</w:t>
      </w:r>
      <w:r w:rsidRPr="005C47C5">
        <w:rPr>
          <w:sz w:val="24"/>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986949" w:rsidRPr="005C47C5" w:rsidRDefault="00986949" w:rsidP="00986949">
      <w:pPr>
        <w:tabs>
          <w:tab w:val="left" w:pos="426"/>
        </w:tabs>
        <w:rPr>
          <w:sz w:val="24"/>
        </w:rPr>
      </w:pPr>
    </w:p>
    <w:p w:rsidR="00986949" w:rsidRPr="005C47C5" w:rsidRDefault="00986949" w:rsidP="00986949">
      <w:pPr>
        <w:pStyle w:val="a3"/>
        <w:numPr>
          <w:ilvl w:val="0"/>
          <w:numId w:val="4"/>
        </w:numPr>
        <w:tabs>
          <w:tab w:val="left" w:pos="374"/>
          <w:tab w:val="left" w:pos="426"/>
        </w:tabs>
        <w:spacing w:line="240" w:lineRule="auto"/>
        <w:ind w:left="0" w:firstLine="0"/>
        <w:rPr>
          <w:sz w:val="24"/>
          <w:szCs w:val="24"/>
          <w:lang w:val="ru-RU"/>
        </w:rPr>
      </w:pPr>
      <w:r w:rsidRPr="005C47C5">
        <w:rPr>
          <w:sz w:val="24"/>
          <w:szCs w:val="24"/>
          <w:lang w:val="ru-RU"/>
        </w:rPr>
        <w:t xml:space="preserve">Общая стоимость предоставления права использования программ для ЭВМ (вознаграждение Лицензиата), подлежащая уплате Сублицензиатом, составляет </w:t>
      </w:r>
      <w:r w:rsidR="00AC3B15" w:rsidRPr="005C47C5">
        <w:rPr>
          <w:sz w:val="24"/>
          <w:szCs w:val="24"/>
          <w:lang w:val="ru-RU"/>
        </w:rPr>
        <w:t>95 353,</w:t>
      </w:r>
      <w:proofErr w:type="gramStart"/>
      <w:r w:rsidR="00AC3B15" w:rsidRPr="005C47C5">
        <w:rPr>
          <w:sz w:val="24"/>
          <w:szCs w:val="24"/>
          <w:lang w:val="ru-RU"/>
        </w:rPr>
        <w:t xml:space="preserve">31 </w:t>
      </w:r>
      <w:r w:rsidRPr="005C47C5">
        <w:rPr>
          <w:sz w:val="24"/>
          <w:szCs w:val="24"/>
          <w:lang w:val="ru-RU"/>
        </w:rPr>
        <w:t xml:space="preserve"> (</w:t>
      </w:r>
      <w:proofErr w:type="gramEnd"/>
      <w:r w:rsidR="00AC3B15" w:rsidRPr="005C47C5">
        <w:rPr>
          <w:sz w:val="24"/>
          <w:szCs w:val="24"/>
          <w:lang w:val="ru-RU"/>
        </w:rPr>
        <w:t>девяносто пять тысяч триста пятьдесят три)  рубля 31 копейка</w:t>
      </w:r>
      <w:r w:rsidRPr="005C47C5">
        <w:rPr>
          <w:sz w:val="24"/>
          <w:szCs w:val="24"/>
          <w:lang w:val="ru-RU"/>
        </w:rPr>
        <w:t>, НДС не облагается в силу пп.26 п.2 ст.149 НК РФ.</w:t>
      </w:r>
    </w:p>
    <w:p w:rsidR="00986949" w:rsidRPr="005C47C5" w:rsidRDefault="00986949" w:rsidP="00986949">
      <w:pPr>
        <w:tabs>
          <w:tab w:val="left" w:pos="374"/>
        </w:tabs>
        <w:rPr>
          <w:bCs/>
          <w:sz w:val="24"/>
        </w:rPr>
      </w:pPr>
      <w:r w:rsidRPr="005C47C5">
        <w:rPr>
          <w:sz w:val="24"/>
        </w:rPr>
        <w:tab/>
      </w:r>
      <w:r w:rsidRPr="005C47C5">
        <w:rPr>
          <w:sz w:val="24"/>
        </w:rPr>
        <w:tab/>
      </w:r>
      <w:r w:rsidRPr="005C47C5">
        <w:rPr>
          <w:sz w:val="24"/>
        </w:rPr>
        <w:tab/>
      </w:r>
      <w:r w:rsidRPr="005C47C5">
        <w:rPr>
          <w:sz w:val="24"/>
        </w:rPr>
        <w:tab/>
      </w:r>
      <w:r w:rsidRPr="005C47C5">
        <w:rPr>
          <w:sz w:val="24"/>
        </w:rPr>
        <w:tab/>
      </w:r>
      <w:r w:rsidRPr="005C47C5">
        <w:rPr>
          <w:sz w:val="24"/>
        </w:rPr>
        <w:tab/>
      </w:r>
      <w:r w:rsidRPr="005C47C5">
        <w:rPr>
          <w:sz w:val="24"/>
        </w:rPr>
        <w:tab/>
      </w:r>
    </w:p>
    <w:tbl>
      <w:tblPr>
        <w:tblW w:w="0" w:type="auto"/>
        <w:tblLook w:val="01E0" w:firstRow="1" w:lastRow="1" w:firstColumn="1" w:lastColumn="1" w:noHBand="0" w:noVBand="0"/>
      </w:tblPr>
      <w:tblGrid>
        <w:gridCol w:w="4691"/>
        <w:gridCol w:w="4664"/>
      </w:tblGrid>
      <w:tr w:rsidR="00986949" w:rsidRPr="005C47C5" w:rsidTr="00634272">
        <w:trPr>
          <w:trHeight w:val="862"/>
        </w:trPr>
        <w:tc>
          <w:tcPr>
            <w:tcW w:w="4828" w:type="dxa"/>
          </w:tcPr>
          <w:p w:rsidR="00986949" w:rsidRPr="005C47C5" w:rsidRDefault="00986949" w:rsidP="00634272">
            <w:pPr>
              <w:jc w:val="center"/>
              <w:rPr>
                <w:b/>
                <w:sz w:val="24"/>
              </w:rPr>
            </w:pPr>
            <w:r w:rsidRPr="005C47C5">
              <w:rPr>
                <w:b/>
                <w:sz w:val="24"/>
              </w:rPr>
              <w:t>Лицензиат:</w:t>
            </w:r>
          </w:p>
          <w:p w:rsidR="00986949" w:rsidRPr="005C47C5" w:rsidRDefault="00AC3B15" w:rsidP="00634272">
            <w:pPr>
              <w:adjustRightInd w:val="0"/>
              <w:rPr>
                <w:b/>
                <w:sz w:val="24"/>
              </w:rPr>
            </w:pPr>
            <w:r w:rsidRPr="005C47C5">
              <w:rPr>
                <w:b/>
                <w:sz w:val="24"/>
              </w:rPr>
              <w:t>ООО «ГЕОКЭПИТАЛ»</w:t>
            </w:r>
          </w:p>
          <w:p w:rsidR="00986949" w:rsidRPr="005C47C5" w:rsidRDefault="00986949" w:rsidP="00634272">
            <w:pPr>
              <w:rPr>
                <w:sz w:val="24"/>
              </w:rPr>
            </w:pPr>
          </w:p>
        </w:tc>
        <w:tc>
          <w:tcPr>
            <w:tcW w:w="4742" w:type="dxa"/>
          </w:tcPr>
          <w:p w:rsidR="00986949" w:rsidRPr="005C47C5" w:rsidRDefault="00986949" w:rsidP="00634272">
            <w:pPr>
              <w:jc w:val="center"/>
              <w:rPr>
                <w:b/>
                <w:sz w:val="24"/>
              </w:rPr>
            </w:pPr>
            <w:r w:rsidRPr="005C47C5">
              <w:rPr>
                <w:b/>
                <w:sz w:val="24"/>
              </w:rPr>
              <w:t>Сублицензиат:</w:t>
            </w:r>
          </w:p>
          <w:p w:rsidR="00986949" w:rsidRPr="005C47C5" w:rsidRDefault="00986949" w:rsidP="00634272">
            <w:pPr>
              <w:rPr>
                <w:b/>
                <w:sz w:val="24"/>
              </w:rPr>
            </w:pPr>
            <w:r w:rsidRPr="005C47C5">
              <w:rPr>
                <w:b/>
                <w:sz w:val="24"/>
              </w:rPr>
              <w:fldChar w:fldCharType="begin">
                <w:ffData>
                  <w:name w:val=""/>
                  <w:enabled/>
                  <w:calcOnExit w:val="0"/>
                  <w:textInput>
                    <w:default w:val="АО &quot;Казэнерго&quot;"/>
                  </w:textInput>
                </w:ffData>
              </w:fldChar>
            </w:r>
            <w:r w:rsidRPr="005C47C5">
              <w:rPr>
                <w:b/>
                <w:sz w:val="24"/>
              </w:rPr>
              <w:instrText xml:space="preserve"> FORMTEXT </w:instrText>
            </w:r>
            <w:r w:rsidRPr="005C47C5">
              <w:rPr>
                <w:b/>
                <w:sz w:val="24"/>
              </w:rPr>
            </w:r>
            <w:r w:rsidRPr="005C47C5">
              <w:rPr>
                <w:b/>
                <w:sz w:val="24"/>
              </w:rPr>
              <w:fldChar w:fldCharType="separate"/>
            </w:r>
            <w:r w:rsidRPr="005C47C5">
              <w:rPr>
                <w:b/>
                <w:noProof/>
                <w:sz w:val="24"/>
              </w:rPr>
              <w:t>АО "Казэнерго"</w:t>
            </w:r>
            <w:r w:rsidRPr="005C47C5">
              <w:rPr>
                <w:b/>
                <w:sz w:val="24"/>
              </w:rPr>
              <w:fldChar w:fldCharType="end"/>
            </w:r>
          </w:p>
          <w:p w:rsidR="00986949" w:rsidRPr="005C47C5" w:rsidRDefault="00986949" w:rsidP="00634272">
            <w:pPr>
              <w:rPr>
                <w:sz w:val="24"/>
              </w:rPr>
            </w:pPr>
            <w:r w:rsidRPr="005C47C5">
              <w:rPr>
                <w:sz w:val="24"/>
              </w:rPr>
              <w:t xml:space="preserve"> </w:t>
            </w:r>
          </w:p>
        </w:tc>
      </w:tr>
      <w:tr w:rsidR="00986949" w:rsidRPr="005C47C5" w:rsidTr="00634272">
        <w:trPr>
          <w:trHeight w:val="1059"/>
        </w:trPr>
        <w:tc>
          <w:tcPr>
            <w:tcW w:w="4828" w:type="dxa"/>
          </w:tcPr>
          <w:p w:rsidR="00986949" w:rsidRPr="005C47C5" w:rsidRDefault="00986949" w:rsidP="00634272">
            <w:pPr>
              <w:rPr>
                <w:b/>
                <w:sz w:val="24"/>
              </w:rPr>
            </w:pPr>
            <w:r w:rsidRPr="005C47C5">
              <w:rPr>
                <w:b/>
                <w:bCs/>
                <w:sz w:val="24"/>
              </w:rPr>
              <w:t>Подпись:</w:t>
            </w:r>
            <w:r w:rsidRPr="005C47C5">
              <w:rPr>
                <w:b/>
                <w:sz w:val="24"/>
              </w:rPr>
              <w:t xml:space="preserve"> </w:t>
            </w:r>
          </w:p>
          <w:p w:rsidR="00986949" w:rsidRPr="005C47C5" w:rsidRDefault="00986949" w:rsidP="00634272">
            <w:pPr>
              <w:rPr>
                <w:sz w:val="24"/>
              </w:rPr>
            </w:pPr>
          </w:p>
          <w:p w:rsidR="00986949" w:rsidRPr="005C47C5" w:rsidRDefault="00AC3B15" w:rsidP="00634272">
            <w:pPr>
              <w:jc w:val="right"/>
              <w:rPr>
                <w:sz w:val="24"/>
              </w:rPr>
            </w:pPr>
            <w:r w:rsidRPr="005C47C5">
              <w:rPr>
                <w:sz w:val="24"/>
              </w:rPr>
              <w:t xml:space="preserve">_____________________ </w:t>
            </w:r>
            <w:proofErr w:type="spellStart"/>
            <w:r w:rsidR="00C13938">
              <w:rPr>
                <w:color w:val="000000"/>
                <w:sz w:val="22"/>
                <w:szCs w:val="22"/>
              </w:rPr>
              <w:t>Лобынцева</w:t>
            </w:r>
            <w:proofErr w:type="spellEnd"/>
            <w:r w:rsidR="00C13938">
              <w:rPr>
                <w:color w:val="000000"/>
                <w:sz w:val="22"/>
                <w:szCs w:val="22"/>
              </w:rPr>
              <w:t xml:space="preserve"> Т.Е</w:t>
            </w:r>
          </w:p>
          <w:p w:rsidR="00986949" w:rsidRPr="005C47C5" w:rsidRDefault="00986949" w:rsidP="00634272">
            <w:pPr>
              <w:jc w:val="center"/>
              <w:rPr>
                <w:sz w:val="24"/>
              </w:rPr>
            </w:pPr>
            <w:r w:rsidRPr="005C47C5">
              <w:rPr>
                <w:sz w:val="24"/>
              </w:rPr>
              <w:t>М.П.</w:t>
            </w:r>
          </w:p>
          <w:p w:rsidR="00986949" w:rsidRPr="005C47C5" w:rsidRDefault="00986949" w:rsidP="00634272">
            <w:pPr>
              <w:jc w:val="center"/>
              <w:rPr>
                <w:sz w:val="24"/>
              </w:rPr>
            </w:pPr>
          </w:p>
        </w:tc>
        <w:tc>
          <w:tcPr>
            <w:tcW w:w="4742" w:type="dxa"/>
          </w:tcPr>
          <w:p w:rsidR="00986949" w:rsidRPr="005C47C5" w:rsidRDefault="00986949" w:rsidP="00634272">
            <w:pPr>
              <w:rPr>
                <w:b/>
                <w:sz w:val="24"/>
              </w:rPr>
            </w:pPr>
            <w:r w:rsidRPr="005C47C5">
              <w:rPr>
                <w:b/>
                <w:bCs/>
                <w:sz w:val="24"/>
              </w:rPr>
              <w:t>Подпись:</w:t>
            </w:r>
            <w:r w:rsidRPr="005C47C5">
              <w:rPr>
                <w:b/>
                <w:sz w:val="24"/>
              </w:rPr>
              <w:t xml:space="preserve"> </w:t>
            </w:r>
          </w:p>
          <w:p w:rsidR="00986949" w:rsidRPr="005C47C5" w:rsidRDefault="00986949" w:rsidP="00634272">
            <w:pPr>
              <w:rPr>
                <w:sz w:val="24"/>
              </w:rPr>
            </w:pPr>
          </w:p>
          <w:p w:rsidR="00986949" w:rsidRPr="005C47C5" w:rsidRDefault="00986949" w:rsidP="00634272">
            <w:pPr>
              <w:jc w:val="right"/>
              <w:rPr>
                <w:sz w:val="24"/>
              </w:rPr>
            </w:pPr>
            <w:r w:rsidRPr="005C47C5">
              <w:rPr>
                <w:sz w:val="24"/>
              </w:rPr>
              <w:t>____________________/</w:t>
            </w:r>
            <w:r w:rsidRPr="005C47C5">
              <w:rPr>
                <w:sz w:val="24"/>
              </w:rPr>
              <w:fldChar w:fldCharType="begin">
                <w:ffData>
                  <w:name w:val=""/>
                  <w:enabled/>
                  <w:calcOnExit w:val="0"/>
                  <w:textInput>
                    <w:default w:val="Сабитов Т.Т."/>
                  </w:textInput>
                </w:ffData>
              </w:fldChar>
            </w:r>
            <w:r w:rsidRPr="005C47C5">
              <w:rPr>
                <w:sz w:val="24"/>
              </w:rPr>
              <w:instrText xml:space="preserve"> FORMTEXT </w:instrText>
            </w:r>
            <w:r w:rsidRPr="005C47C5">
              <w:rPr>
                <w:sz w:val="24"/>
              </w:rPr>
            </w:r>
            <w:r w:rsidRPr="005C47C5">
              <w:rPr>
                <w:sz w:val="24"/>
              </w:rPr>
              <w:fldChar w:fldCharType="separate"/>
            </w:r>
            <w:r w:rsidRPr="005C47C5">
              <w:rPr>
                <w:noProof/>
                <w:sz w:val="24"/>
              </w:rPr>
              <w:t>Сабитов Т.Т.</w:t>
            </w:r>
            <w:r w:rsidRPr="005C47C5">
              <w:rPr>
                <w:sz w:val="24"/>
              </w:rPr>
              <w:fldChar w:fldCharType="end"/>
            </w:r>
            <w:r w:rsidRPr="005C47C5">
              <w:rPr>
                <w:sz w:val="24"/>
              </w:rPr>
              <w:t>/</w:t>
            </w:r>
          </w:p>
          <w:p w:rsidR="00986949" w:rsidRPr="005C47C5" w:rsidRDefault="00986949" w:rsidP="00634272">
            <w:pPr>
              <w:jc w:val="center"/>
              <w:rPr>
                <w:sz w:val="24"/>
              </w:rPr>
            </w:pPr>
            <w:r w:rsidRPr="005C47C5">
              <w:rPr>
                <w:sz w:val="24"/>
              </w:rPr>
              <w:t>М.П.</w:t>
            </w:r>
          </w:p>
          <w:p w:rsidR="00986949" w:rsidRPr="005C47C5" w:rsidRDefault="00986949" w:rsidP="00634272">
            <w:pPr>
              <w:jc w:val="center"/>
              <w:rPr>
                <w:sz w:val="24"/>
              </w:rPr>
            </w:pPr>
          </w:p>
        </w:tc>
      </w:tr>
    </w:tbl>
    <w:p w:rsidR="00986949" w:rsidRPr="005C47C5" w:rsidRDefault="00986949" w:rsidP="00986949">
      <w:pPr>
        <w:widowControl/>
        <w:jc w:val="right"/>
        <w:rPr>
          <w:i/>
          <w:sz w:val="24"/>
          <w:lang w:eastAsia="ar-SA"/>
        </w:rPr>
      </w:pPr>
    </w:p>
    <w:p w:rsidR="00986949" w:rsidRPr="005C47C5" w:rsidRDefault="00986949" w:rsidP="00986949">
      <w:pPr>
        <w:widowControl/>
        <w:jc w:val="right"/>
        <w:rPr>
          <w:i/>
          <w:sz w:val="24"/>
          <w:lang w:eastAsia="ar-SA"/>
        </w:rPr>
      </w:pPr>
    </w:p>
    <w:p w:rsidR="00986949" w:rsidRPr="005C47C5" w:rsidRDefault="00986949" w:rsidP="00986949">
      <w:pPr>
        <w:widowControl/>
        <w:jc w:val="right"/>
        <w:rPr>
          <w:i/>
          <w:sz w:val="24"/>
          <w:lang w:eastAsia="ar-SA"/>
        </w:rPr>
      </w:pPr>
    </w:p>
    <w:p w:rsidR="00986949" w:rsidRPr="005C47C5" w:rsidRDefault="00986949" w:rsidP="00986949">
      <w:pPr>
        <w:widowControl/>
        <w:jc w:val="right"/>
        <w:rPr>
          <w:i/>
          <w:sz w:val="24"/>
          <w:lang w:eastAsia="ar-SA"/>
        </w:rPr>
      </w:pPr>
    </w:p>
    <w:p w:rsidR="00986949" w:rsidRPr="005C47C5" w:rsidRDefault="00986949" w:rsidP="00986949">
      <w:pPr>
        <w:widowControl/>
        <w:jc w:val="right"/>
        <w:rPr>
          <w:i/>
          <w:sz w:val="24"/>
          <w:lang w:eastAsia="ar-SA"/>
        </w:rPr>
      </w:pPr>
    </w:p>
    <w:p w:rsidR="00986949" w:rsidRPr="005C47C5" w:rsidRDefault="00986949" w:rsidP="00AC3B15">
      <w:pPr>
        <w:widowControl/>
        <w:rPr>
          <w:i/>
          <w:sz w:val="24"/>
          <w:lang w:eastAsia="ar-SA"/>
        </w:rPr>
      </w:pPr>
    </w:p>
    <w:p w:rsidR="00986949" w:rsidRPr="005C47C5" w:rsidRDefault="00986949" w:rsidP="00986949">
      <w:pPr>
        <w:widowControl/>
        <w:jc w:val="right"/>
        <w:rPr>
          <w:i/>
          <w:sz w:val="24"/>
          <w:lang w:eastAsia="ar-SA"/>
        </w:rPr>
      </w:pPr>
    </w:p>
    <w:p w:rsidR="00986949" w:rsidRPr="005C47C5" w:rsidRDefault="00986949" w:rsidP="00986949">
      <w:pPr>
        <w:widowControl/>
        <w:jc w:val="right"/>
        <w:rPr>
          <w:i/>
          <w:sz w:val="24"/>
          <w:lang w:eastAsia="ar-SA"/>
        </w:rPr>
      </w:pPr>
    </w:p>
    <w:p w:rsidR="00986949" w:rsidRPr="005C47C5" w:rsidRDefault="00986949" w:rsidP="00986949">
      <w:pPr>
        <w:widowControl/>
        <w:rPr>
          <w:i/>
          <w:sz w:val="24"/>
          <w:lang w:eastAsia="ar-SA"/>
        </w:rPr>
      </w:pPr>
    </w:p>
    <w:sectPr w:rsidR="00986949" w:rsidRPr="005C4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5BAC"/>
    <w:multiLevelType w:val="multilevel"/>
    <w:tmpl w:val="B9E8836A"/>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36A05D3D"/>
    <w:multiLevelType w:val="hybridMultilevel"/>
    <w:tmpl w:val="504859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930524"/>
    <w:multiLevelType w:val="multilevel"/>
    <w:tmpl w:val="558EBF6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49"/>
    <w:rsid w:val="00016ECB"/>
    <w:rsid w:val="001806AB"/>
    <w:rsid w:val="00386F5A"/>
    <w:rsid w:val="0041764D"/>
    <w:rsid w:val="00486DDC"/>
    <w:rsid w:val="005C47C5"/>
    <w:rsid w:val="00877BD9"/>
    <w:rsid w:val="00986949"/>
    <w:rsid w:val="00AC3B15"/>
    <w:rsid w:val="00C13938"/>
    <w:rsid w:val="00D715DD"/>
    <w:rsid w:val="00FC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3929-0027-43B8-A609-43072E2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49"/>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49"/>
    <w:pPr>
      <w:widowControl/>
      <w:spacing w:line="336" w:lineRule="auto"/>
      <w:ind w:left="720"/>
      <w:contextualSpacing/>
    </w:pPr>
    <w:rPr>
      <w:szCs w:val="20"/>
      <w:lang w:val="en-US" w:eastAsia="en-US" w:bidi="en-US"/>
    </w:rPr>
  </w:style>
  <w:style w:type="character" w:customStyle="1" w:styleId="a4">
    <w:name w:val="Стиль вставки"/>
    <w:uiPriority w:val="1"/>
    <w:qFormat/>
    <w:rsid w:val="00986949"/>
    <w:rPr>
      <w:rFonts w:ascii="Tahoma" w:hAnsi="Tahoma"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Logvina, Marina</dc:creator>
  <cp:keywords/>
  <dc:description/>
  <cp:lastModifiedBy>Надеждина Светлана Юрьевна</cp:lastModifiedBy>
  <cp:revision>3</cp:revision>
  <dcterms:created xsi:type="dcterms:W3CDTF">2018-04-03T05:46:00Z</dcterms:created>
  <dcterms:modified xsi:type="dcterms:W3CDTF">2018-04-05T12:06:00Z</dcterms:modified>
</cp:coreProperties>
</file>